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81026" w14:textId="73D5BAB5" w:rsidR="001B0301" w:rsidRPr="006B46C7" w:rsidRDefault="004D2C53" w:rsidP="005C0675">
      <w:pPr>
        <w:pStyle w:val="50"/>
        <w:pBdr>
          <w:top w:val="single" w:sz="0" w:space="0" w:color="2D2D83"/>
          <w:left w:val="single" w:sz="0" w:space="0" w:color="2D2D83"/>
          <w:bottom w:val="single" w:sz="0" w:space="5" w:color="2D2D83"/>
          <w:right w:val="single" w:sz="0" w:space="0" w:color="2D2D83"/>
        </w:pBdr>
        <w:shd w:val="clear" w:color="auto" w:fill="2D2D83"/>
        <w:tabs>
          <w:tab w:val="left" w:pos="6387"/>
        </w:tabs>
        <w:spacing w:after="40" w:line="240" w:lineRule="auto"/>
        <w:ind w:left="5477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color w:val="FFFFFF"/>
          <w:sz w:val="24"/>
          <w:szCs w:val="24"/>
          <w:lang w:val="ru-RU"/>
        </w:rPr>
        <w:t>Международная ассоциация</w:t>
      </w:r>
    </w:p>
    <w:p w14:paraId="19F04611" w14:textId="2A66E487" w:rsidR="001B0301" w:rsidRPr="006B46C7" w:rsidRDefault="00590000" w:rsidP="005C0675">
      <w:pPr>
        <w:pStyle w:val="50"/>
        <w:pBdr>
          <w:top w:val="single" w:sz="0" w:space="0" w:color="2D2D83"/>
          <w:left w:val="single" w:sz="0" w:space="0" w:color="2D2D83"/>
          <w:bottom w:val="single" w:sz="0" w:space="5" w:color="2D2D83"/>
          <w:right w:val="single" w:sz="0" w:space="0" w:color="2D2D83"/>
        </w:pBdr>
        <w:shd w:val="clear" w:color="auto" w:fill="2D2D83"/>
        <w:spacing w:after="40" w:line="206" w:lineRule="auto"/>
        <w:ind w:left="5477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60288" behindDoc="1" locked="0" layoutInCell="1" allowOverlap="1" wp14:anchorId="41BAB5BD" wp14:editId="6200264F">
            <wp:simplePos x="0" y="0"/>
            <wp:positionH relativeFrom="column">
              <wp:posOffset>-1291145</wp:posOffset>
            </wp:positionH>
            <wp:positionV relativeFrom="paragraph">
              <wp:posOffset>446545</wp:posOffset>
            </wp:positionV>
            <wp:extent cx="7760921" cy="5047615"/>
            <wp:effectExtent l="0" t="0" r="0" b="635"/>
            <wp:wrapNone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7764484" cy="5049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C53" w:rsidRPr="006B46C7">
        <w:rPr>
          <w:rFonts w:ascii="Times New Roman" w:hAnsi="Times New Roman" w:cs="Times New Roman"/>
          <w:color w:val="FFFFFF"/>
          <w:sz w:val="24"/>
          <w:szCs w:val="24"/>
          <w:lang w:val="ru-RU"/>
        </w:rPr>
        <w:t xml:space="preserve">страховщиков </w:t>
      </w:r>
      <w:r w:rsidR="002F6E60" w:rsidRPr="006B46C7">
        <w:rPr>
          <w:rFonts w:ascii="Times New Roman" w:hAnsi="Times New Roman" w:cs="Times New Roman"/>
          <w:color w:val="FFFFFF"/>
          <w:sz w:val="24"/>
          <w:szCs w:val="24"/>
          <w:lang w:val="ru-RU"/>
        </w:rPr>
        <w:t>депозитов</w:t>
      </w:r>
    </w:p>
    <w:p w14:paraId="31BCBFDC" w14:textId="24FBFC5F" w:rsidR="001B0301" w:rsidRPr="006B46C7" w:rsidRDefault="001B0301">
      <w:pPr>
        <w:jc w:val="center"/>
        <w:rPr>
          <w:rFonts w:ascii="Times New Roman" w:hAnsi="Times New Roman" w:cs="Times New Roman"/>
          <w:lang w:val="ru-RU"/>
        </w:rPr>
      </w:pPr>
    </w:p>
    <w:p w14:paraId="311931EA" w14:textId="77777777" w:rsidR="001B0301" w:rsidRPr="006B46C7" w:rsidRDefault="001B0301">
      <w:pPr>
        <w:spacing w:after="1019" w:line="1" w:lineRule="exact"/>
        <w:rPr>
          <w:rFonts w:ascii="Times New Roman" w:hAnsi="Times New Roman" w:cs="Times New Roman"/>
          <w:lang w:val="ru-RU"/>
        </w:rPr>
      </w:pPr>
    </w:p>
    <w:p w14:paraId="7E734CD0" w14:textId="77777777" w:rsidR="00590000" w:rsidRPr="006B46C7" w:rsidRDefault="00590000">
      <w:pPr>
        <w:pStyle w:val="30"/>
        <w:rPr>
          <w:rFonts w:ascii="Times New Roman" w:hAnsi="Times New Roman" w:cs="Times New Roman"/>
          <w:sz w:val="24"/>
          <w:szCs w:val="24"/>
          <w:lang w:val="ru-RU"/>
        </w:rPr>
      </w:pPr>
    </w:p>
    <w:p w14:paraId="2856C37F" w14:textId="77777777" w:rsidR="00590000" w:rsidRPr="006B46C7" w:rsidRDefault="00590000">
      <w:pPr>
        <w:pStyle w:val="30"/>
        <w:rPr>
          <w:rFonts w:ascii="Times New Roman" w:hAnsi="Times New Roman" w:cs="Times New Roman"/>
          <w:sz w:val="24"/>
          <w:szCs w:val="24"/>
          <w:lang w:val="ru-RU"/>
        </w:rPr>
      </w:pPr>
    </w:p>
    <w:p w14:paraId="650745BC" w14:textId="77777777" w:rsidR="00590000" w:rsidRPr="006B46C7" w:rsidRDefault="00590000">
      <w:pPr>
        <w:pStyle w:val="30"/>
        <w:rPr>
          <w:rFonts w:ascii="Times New Roman" w:hAnsi="Times New Roman" w:cs="Times New Roman"/>
          <w:sz w:val="24"/>
          <w:szCs w:val="24"/>
          <w:lang w:val="ru-RU"/>
        </w:rPr>
      </w:pPr>
    </w:p>
    <w:p w14:paraId="6DC3A0D0" w14:textId="77777777" w:rsidR="005C0675" w:rsidRPr="006B46C7" w:rsidRDefault="005C0675">
      <w:pPr>
        <w:pStyle w:val="30"/>
        <w:rPr>
          <w:rFonts w:ascii="Times New Roman" w:hAnsi="Times New Roman" w:cs="Times New Roman"/>
          <w:sz w:val="24"/>
          <w:szCs w:val="24"/>
          <w:lang w:val="ru-RU"/>
        </w:rPr>
      </w:pPr>
    </w:p>
    <w:p w14:paraId="0CF154C4" w14:textId="77777777" w:rsidR="005343FE" w:rsidRDefault="005343FE">
      <w:pPr>
        <w:pStyle w:val="30"/>
        <w:rPr>
          <w:rFonts w:ascii="Times New Roman" w:hAnsi="Times New Roman" w:cs="Times New Roman"/>
          <w:sz w:val="24"/>
          <w:szCs w:val="24"/>
          <w:lang w:val="ru-RU"/>
        </w:rPr>
      </w:pPr>
    </w:p>
    <w:p w14:paraId="5D4858FA" w14:textId="3AE9478D" w:rsidR="005343FE" w:rsidRPr="006B46C7" w:rsidRDefault="00271B8B" w:rsidP="006B46C7">
      <w:pPr>
        <w:pStyle w:val="30"/>
        <w:spacing w:after="0"/>
        <w:jc w:val="left"/>
        <w:rPr>
          <w:rFonts w:ascii="Times New Roman" w:hAnsi="Times New Roman" w:cs="Times New Roman"/>
          <w:sz w:val="21"/>
          <w:szCs w:val="21"/>
          <w:lang w:val="ru-RU"/>
        </w:rPr>
      </w:pPr>
      <w:r w:rsidRPr="006B46C7">
        <w:rPr>
          <w:rFonts w:ascii="Times New Roman" w:hAnsi="Times New Roman" w:cs="Times New Roman"/>
          <w:sz w:val="32"/>
          <w:szCs w:val="32"/>
          <w:lang w:val="ru-RU"/>
        </w:rPr>
        <w:t xml:space="preserve">Проверочные мероприятия, направленные на </w:t>
      </w:r>
      <w:r w:rsidR="009E01DA" w:rsidRPr="006B46C7">
        <w:rPr>
          <w:rFonts w:ascii="Times New Roman" w:hAnsi="Times New Roman" w:cs="Times New Roman"/>
          <w:sz w:val="32"/>
          <w:szCs w:val="32"/>
          <w:lang w:val="ru-RU"/>
        </w:rPr>
        <w:t>оценку</w:t>
      </w:r>
      <w:r w:rsidR="004D2C53" w:rsidRPr="006B46C7">
        <w:rPr>
          <w:rFonts w:ascii="Times New Roman" w:hAnsi="Times New Roman" w:cs="Times New Roman"/>
          <w:sz w:val="32"/>
          <w:szCs w:val="32"/>
          <w:lang w:val="ru-RU"/>
        </w:rPr>
        <w:t xml:space="preserve"> готовности к кризисным ситуациям и управления ими: Обзор, практика и опыт</w:t>
      </w:r>
      <w:r w:rsidR="005343F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14:paraId="677635AB" w14:textId="77777777" w:rsidR="005343FE" w:rsidRDefault="005343FE" w:rsidP="005343FE">
      <w:pPr>
        <w:pStyle w:val="30"/>
        <w:spacing w:after="0"/>
        <w:rPr>
          <w:sz w:val="24"/>
          <w:szCs w:val="24"/>
          <w:lang w:val="ru-RU"/>
        </w:rPr>
      </w:pPr>
    </w:p>
    <w:p w14:paraId="5618B5B8" w14:textId="77777777" w:rsidR="005343FE" w:rsidRDefault="005343FE" w:rsidP="005343FE">
      <w:pPr>
        <w:pStyle w:val="30"/>
        <w:spacing w:after="0"/>
        <w:rPr>
          <w:sz w:val="24"/>
          <w:szCs w:val="24"/>
          <w:lang w:val="ru-RU"/>
        </w:rPr>
      </w:pPr>
    </w:p>
    <w:p w14:paraId="5AB76650" w14:textId="77777777" w:rsidR="005343FE" w:rsidRDefault="005343FE" w:rsidP="005343FE">
      <w:pPr>
        <w:pStyle w:val="30"/>
        <w:spacing w:after="0"/>
        <w:rPr>
          <w:sz w:val="24"/>
          <w:szCs w:val="24"/>
          <w:lang w:val="ru-RU"/>
        </w:rPr>
      </w:pPr>
    </w:p>
    <w:p w14:paraId="33DD541E" w14:textId="45249291" w:rsidR="00590000" w:rsidRPr="006B46C7" w:rsidRDefault="004D2C53" w:rsidP="006B46C7">
      <w:pPr>
        <w:pStyle w:val="30"/>
        <w:spacing w:after="0"/>
        <w:rPr>
          <w:sz w:val="24"/>
          <w:szCs w:val="24"/>
          <w:lang w:val="ru-RU"/>
        </w:rPr>
      </w:pPr>
      <w:r w:rsidRPr="006B46C7">
        <w:rPr>
          <w:sz w:val="24"/>
          <w:szCs w:val="24"/>
          <w:lang w:val="ru-RU"/>
        </w:rPr>
        <w:t>Март 2025 г</w:t>
      </w:r>
    </w:p>
    <w:p w14:paraId="4EE994FD" w14:textId="77777777" w:rsidR="00590000" w:rsidRPr="006B46C7" w:rsidRDefault="00590000" w:rsidP="00590000">
      <w:pPr>
        <w:pStyle w:val="40"/>
        <w:jc w:val="right"/>
        <w:rPr>
          <w:rFonts w:ascii="Times New Roman" w:hAnsi="Times New Roman" w:cs="Times New Roman"/>
          <w:b/>
          <w:bCs/>
          <w:color w:val="0075BC"/>
          <w:sz w:val="24"/>
          <w:szCs w:val="24"/>
          <w:lang w:val="ru-RU"/>
        </w:rPr>
      </w:pPr>
    </w:p>
    <w:p w14:paraId="72058234" w14:textId="77777777" w:rsidR="00590000" w:rsidRPr="006B46C7" w:rsidRDefault="00590000" w:rsidP="00590000">
      <w:pPr>
        <w:pStyle w:val="40"/>
        <w:jc w:val="right"/>
        <w:rPr>
          <w:rFonts w:ascii="Times New Roman" w:hAnsi="Times New Roman" w:cs="Times New Roman"/>
          <w:b/>
          <w:bCs/>
          <w:color w:val="0075BC"/>
          <w:sz w:val="24"/>
          <w:szCs w:val="24"/>
          <w:lang w:val="ru-RU"/>
        </w:rPr>
      </w:pPr>
    </w:p>
    <w:p w14:paraId="5860EBFE" w14:textId="77777777" w:rsidR="00590000" w:rsidRPr="006B46C7" w:rsidRDefault="00590000" w:rsidP="00590000">
      <w:pPr>
        <w:pStyle w:val="40"/>
        <w:jc w:val="right"/>
        <w:rPr>
          <w:rFonts w:ascii="Times New Roman" w:hAnsi="Times New Roman" w:cs="Times New Roman"/>
          <w:b/>
          <w:bCs/>
          <w:color w:val="0075BC"/>
          <w:sz w:val="24"/>
          <w:szCs w:val="24"/>
          <w:lang w:val="ru-RU"/>
        </w:rPr>
      </w:pPr>
    </w:p>
    <w:p w14:paraId="194A46B8" w14:textId="77777777" w:rsidR="00590000" w:rsidRPr="006B46C7" w:rsidRDefault="00590000" w:rsidP="00590000">
      <w:pPr>
        <w:pStyle w:val="40"/>
        <w:jc w:val="right"/>
        <w:rPr>
          <w:rFonts w:ascii="Times New Roman" w:hAnsi="Times New Roman" w:cs="Times New Roman"/>
          <w:b/>
          <w:bCs/>
          <w:color w:val="0075BC"/>
          <w:sz w:val="24"/>
          <w:szCs w:val="24"/>
          <w:lang w:val="ru-RU"/>
        </w:rPr>
      </w:pPr>
    </w:p>
    <w:p w14:paraId="5187B358" w14:textId="77777777" w:rsidR="00590000" w:rsidRPr="006B46C7" w:rsidRDefault="00590000" w:rsidP="00590000">
      <w:pPr>
        <w:pStyle w:val="40"/>
        <w:jc w:val="right"/>
        <w:rPr>
          <w:rFonts w:ascii="Times New Roman" w:hAnsi="Times New Roman" w:cs="Times New Roman"/>
          <w:b/>
          <w:bCs/>
          <w:color w:val="0075BC"/>
          <w:sz w:val="24"/>
          <w:szCs w:val="24"/>
          <w:lang w:val="ru-RU"/>
        </w:rPr>
      </w:pPr>
    </w:p>
    <w:p w14:paraId="5DF82124" w14:textId="77777777" w:rsidR="00590000" w:rsidRPr="006B46C7" w:rsidRDefault="00590000" w:rsidP="00590000">
      <w:pPr>
        <w:pStyle w:val="40"/>
        <w:jc w:val="right"/>
        <w:rPr>
          <w:rFonts w:ascii="Times New Roman" w:hAnsi="Times New Roman" w:cs="Times New Roman"/>
          <w:b/>
          <w:bCs/>
          <w:color w:val="0075BC"/>
          <w:sz w:val="24"/>
          <w:szCs w:val="24"/>
          <w:lang w:val="ru-RU"/>
        </w:rPr>
      </w:pPr>
    </w:p>
    <w:p w14:paraId="56C093D8" w14:textId="77777777" w:rsidR="00590000" w:rsidRPr="006B46C7" w:rsidRDefault="00590000" w:rsidP="00590000">
      <w:pPr>
        <w:pStyle w:val="11"/>
        <w:spacing w:after="320"/>
        <w:rPr>
          <w:rFonts w:ascii="Times New Roman" w:hAnsi="Times New Roman" w:cs="Times New Roman"/>
          <w:sz w:val="24"/>
          <w:szCs w:val="24"/>
          <w:lang w:val="ru-RU"/>
        </w:rPr>
      </w:pPr>
    </w:p>
    <w:p w14:paraId="34F4B723" w14:textId="77777777" w:rsidR="00590000" w:rsidRPr="006B46C7" w:rsidRDefault="00590000" w:rsidP="00590000">
      <w:pPr>
        <w:pStyle w:val="11"/>
        <w:spacing w:after="320"/>
        <w:rPr>
          <w:rFonts w:ascii="Times New Roman" w:hAnsi="Times New Roman" w:cs="Times New Roman"/>
          <w:sz w:val="24"/>
          <w:szCs w:val="24"/>
          <w:lang w:val="ru-RU"/>
        </w:rPr>
      </w:pPr>
    </w:p>
    <w:p w14:paraId="2B22823F" w14:textId="77777777" w:rsidR="00590000" w:rsidRPr="006B46C7" w:rsidRDefault="00590000" w:rsidP="00590000">
      <w:pPr>
        <w:pStyle w:val="11"/>
        <w:spacing w:after="320"/>
        <w:rPr>
          <w:rFonts w:ascii="Times New Roman" w:hAnsi="Times New Roman" w:cs="Times New Roman"/>
          <w:sz w:val="24"/>
          <w:szCs w:val="24"/>
          <w:lang w:val="ru-RU"/>
        </w:rPr>
      </w:pPr>
    </w:p>
    <w:p w14:paraId="65EB7E21" w14:textId="77777777" w:rsidR="00590000" w:rsidRPr="006B46C7" w:rsidRDefault="00590000" w:rsidP="00590000">
      <w:pPr>
        <w:pStyle w:val="11"/>
        <w:spacing w:after="320"/>
        <w:rPr>
          <w:rFonts w:ascii="Times New Roman" w:hAnsi="Times New Roman" w:cs="Times New Roman"/>
          <w:sz w:val="24"/>
          <w:szCs w:val="24"/>
          <w:lang w:val="ru-RU"/>
        </w:rPr>
      </w:pPr>
    </w:p>
    <w:p w14:paraId="1652B0A0" w14:textId="77777777" w:rsidR="00590000" w:rsidRPr="006B46C7" w:rsidRDefault="00590000" w:rsidP="00590000">
      <w:pPr>
        <w:pStyle w:val="11"/>
        <w:spacing w:after="320"/>
        <w:rPr>
          <w:rFonts w:ascii="Times New Roman" w:hAnsi="Times New Roman" w:cs="Times New Roman"/>
          <w:sz w:val="24"/>
          <w:szCs w:val="24"/>
          <w:lang w:val="ru-RU"/>
        </w:rPr>
      </w:pPr>
    </w:p>
    <w:p w14:paraId="7D4EAE88" w14:textId="77777777" w:rsidR="00590000" w:rsidRPr="006B46C7" w:rsidRDefault="00590000" w:rsidP="00590000">
      <w:pPr>
        <w:pStyle w:val="11"/>
        <w:spacing w:after="320"/>
        <w:rPr>
          <w:rFonts w:ascii="Times New Roman" w:hAnsi="Times New Roman" w:cs="Times New Roman"/>
          <w:sz w:val="24"/>
          <w:szCs w:val="24"/>
          <w:lang w:val="ru-RU"/>
        </w:rPr>
      </w:pPr>
    </w:p>
    <w:p w14:paraId="4E8A9164" w14:textId="77777777" w:rsidR="00590000" w:rsidRPr="006B46C7" w:rsidRDefault="00590000" w:rsidP="00590000">
      <w:pPr>
        <w:pStyle w:val="11"/>
        <w:spacing w:after="320"/>
        <w:rPr>
          <w:rFonts w:ascii="Times New Roman" w:hAnsi="Times New Roman" w:cs="Times New Roman"/>
          <w:sz w:val="24"/>
          <w:szCs w:val="24"/>
          <w:lang w:val="ru-RU"/>
        </w:rPr>
      </w:pPr>
    </w:p>
    <w:p w14:paraId="34F87814" w14:textId="77777777" w:rsidR="00590000" w:rsidRPr="006B46C7" w:rsidRDefault="00590000" w:rsidP="00590000">
      <w:pPr>
        <w:pStyle w:val="11"/>
        <w:spacing w:after="320"/>
        <w:rPr>
          <w:rFonts w:ascii="Times New Roman" w:hAnsi="Times New Roman" w:cs="Times New Roman"/>
          <w:sz w:val="24"/>
          <w:szCs w:val="24"/>
          <w:lang w:val="ru-RU"/>
        </w:rPr>
      </w:pPr>
    </w:p>
    <w:p w14:paraId="3B236D6F" w14:textId="77777777" w:rsidR="00590000" w:rsidRPr="006B46C7" w:rsidRDefault="00590000" w:rsidP="00590000">
      <w:pPr>
        <w:pStyle w:val="11"/>
        <w:spacing w:after="320"/>
        <w:rPr>
          <w:rFonts w:ascii="Times New Roman" w:hAnsi="Times New Roman" w:cs="Times New Roman"/>
          <w:sz w:val="24"/>
          <w:szCs w:val="24"/>
          <w:lang w:val="ru-RU"/>
        </w:rPr>
      </w:pPr>
    </w:p>
    <w:p w14:paraId="592A10D1" w14:textId="77777777" w:rsidR="00590000" w:rsidRPr="006B46C7" w:rsidRDefault="00590000" w:rsidP="00590000">
      <w:pPr>
        <w:pStyle w:val="11"/>
        <w:spacing w:after="320"/>
        <w:rPr>
          <w:rFonts w:ascii="Times New Roman" w:hAnsi="Times New Roman" w:cs="Times New Roman"/>
          <w:sz w:val="24"/>
          <w:szCs w:val="24"/>
          <w:lang w:val="ru-RU"/>
        </w:rPr>
      </w:pPr>
    </w:p>
    <w:p w14:paraId="3DD4056E" w14:textId="77777777" w:rsidR="00590000" w:rsidRPr="006B46C7" w:rsidRDefault="00590000" w:rsidP="00590000">
      <w:pPr>
        <w:pStyle w:val="11"/>
        <w:spacing w:after="320"/>
        <w:rPr>
          <w:rFonts w:ascii="Times New Roman" w:hAnsi="Times New Roman" w:cs="Times New Roman"/>
          <w:sz w:val="24"/>
          <w:szCs w:val="24"/>
          <w:lang w:val="ru-RU"/>
        </w:rPr>
      </w:pPr>
    </w:p>
    <w:p w14:paraId="09E12F32" w14:textId="77777777" w:rsidR="00590000" w:rsidRPr="006B46C7" w:rsidRDefault="00590000" w:rsidP="00590000">
      <w:pPr>
        <w:pStyle w:val="11"/>
        <w:spacing w:after="320"/>
        <w:rPr>
          <w:rFonts w:ascii="Times New Roman" w:hAnsi="Times New Roman" w:cs="Times New Roman"/>
          <w:sz w:val="24"/>
          <w:szCs w:val="24"/>
          <w:lang w:val="ru-RU"/>
        </w:rPr>
      </w:pPr>
    </w:p>
    <w:p w14:paraId="783B6C54" w14:textId="77777777" w:rsidR="00841E7F" w:rsidRPr="006B46C7" w:rsidRDefault="00841E7F" w:rsidP="00590000">
      <w:pPr>
        <w:pStyle w:val="11"/>
        <w:spacing w:after="320"/>
        <w:rPr>
          <w:rFonts w:ascii="Times New Roman" w:hAnsi="Times New Roman" w:cs="Times New Roman"/>
          <w:sz w:val="24"/>
          <w:szCs w:val="24"/>
          <w:lang w:val="ru-RU"/>
        </w:rPr>
      </w:pPr>
    </w:p>
    <w:p w14:paraId="2048B3B5" w14:textId="53018CCE" w:rsidR="001B0301" w:rsidRPr="006B46C7" w:rsidRDefault="004D2C53" w:rsidP="00590000">
      <w:pPr>
        <w:pStyle w:val="11"/>
        <w:spacing w:after="320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Настоящий документ подготовлен Технической рабочей группой по чрезвычайным ситуациям </w:t>
      </w:r>
      <w:r w:rsidR="00590000" w:rsidRPr="006B46C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налитического </w:t>
      </w:r>
      <w:r w:rsidR="00104978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комитета Исполнительного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совета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022DEE1" w14:textId="3EE26061" w:rsidR="001B0301" w:rsidRPr="006B46C7" w:rsidRDefault="004D2C53">
      <w:pPr>
        <w:pStyle w:val="11"/>
        <w:spacing w:after="320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Данная публикация доступна на сайте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hyperlink r:id="rId9" w:history="1"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  <w:lang w:val="ru-RU"/>
          </w:rPr>
          <w:t xml:space="preserve"> (</w:t>
        </w:r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</w:rPr>
          <w:t>www</w:t>
        </w:r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  <w:lang w:val="ru-RU"/>
          </w:rPr>
          <w:t>.</w:t>
        </w:r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</w:rPr>
          <w:t>iadi</w:t>
        </w:r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  <w:lang w:val="ru-RU"/>
          </w:rPr>
          <w:t>.</w:t>
        </w:r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</w:rPr>
          <w:t>org</w:t>
        </w:r>
        <w:proofErr w:type="gramStart"/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  <w:lang w:val="ru-RU"/>
          </w:rPr>
          <w:t>)</w:t>
        </w:r>
      </w:hyperlink>
      <w:r w:rsidRPr="006B46C7">
        <w:rPr>
          <w:rFonts w:ascii="Times New Roman" w:hAnsi="Times New Roman" w:cs="Times New Roman"/>
          <w:color w:val="0075BC"/>
          <w:sz w:val="24"/>
          <w:szCs w:val="24"/>
          <w:u w:val="single"/>
          <w:lang w:val="ru-RU"/>
        </w:rPr>
        <w:t xml:space="preserve"> .</w:t>
      </w:r>
      <w:proofErr w:type="gramEnd"/>
    </w:p>
    <w:p w14:paraId="74CD1316" w14:textId="1ADE6414" w:rsidR="001B0301" w:rsidRPr="006B46C7" w:rsidRDefault="004D2C53">
      <w:pPr>
        <w:pStyle w:val="11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© </w:t>
      </w:r>
      <w:r w:rsidR="004C130A">
        <w:rPr>
          <w:rFonts w:ascii="Times New Roman" w:hAnsi="Times New Roman" w:cs="Times New Roman"/>
          <w:sz w:val="24"/>
          <w:szCs w:val="24"/>
          <w:lang w:val="ru-RU"/>
        </w:rPr>
        <w:t>Международная ассоциация страховщиков депозитов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2025. Все права защищены.</w:t>
      </w:r>
    </w:p>
    <w:p w14:paraId="263FB064" w14:textId="75C71F46" w:rsidR="00590000" w:rsidRPr="006B46C7" w:rsidRDefault="004D2C53" w:rsidP="00841E7F">
      <w:pPr>
        <w:pStyle w:val="11"/>
        <w:spacing w:after="320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>Краткие выдержки могут быть воспроизведены или переведены при условии указания</w:t>
      </w:r>
      <w:r w:rsidR="009A2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источника.</w:t>
      </w:r>
      <w:r w:rsidR="00590000" w:rsidRPr="006B46C7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0402B097" w14:textId="77777777" w:rsidR="001B0301" w:rsidRPr="006B46C7" w:rsidRDefault="001B0301">
      <w:pPr>
        <w:pStyle w:val="11"/>
        <w:spacing w:after="320"/>
        <w:rPr>
          <w:rFonts w:ascii="Times New Roman" w:hAnsi="Times New Roman" w:cs="Times New Roman"/>
          <w:sz w:val="24"/>
          <w:szCs w:val="24"/>
          <w:lang w:val="ru-RU"/>
        </w:rPr>
        <w:sectPr w:rsidR="001B0301" w:rsidRPr="006B46C7">
          <w:pgSz w:w="12240" w:h="15840"/>
          <w:pgMar w:top="913" w:right="1563" w:bottom="2182" w:left="1558" w:header="485" w:footer="1754" w:gutter="0"/>
          <w:cols w:space="720"/>
          <w:noEndnote/>
          <w:docGrid w:linePitch="360"/>
        </w:sectPr>
      </w:pPr>
    </w:p>
    <w:sdt>
      <w:sdtPr>
        <w:id w:val="906428843"/>
        <w:docPartObj>
          <w:docPartGallery w:val="Table of Contents"/>
          <w:docPartUnique/>
        </w:docPartObj>
      </w:sdtPr>
      <w:sdtEndPr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val="en-US" w:eastAsia="en-US" w:bidi="en-US"/>
        </w:rPr>
      </w:sdtEndPr>
      <w:sdtContent>
        <w:p w14:paraId="0571FBED" w14:textId="3F00E7FA" w:rsidR="00DF5CEA" w:rsidRDefault="00DF5CEA" w:rsidP="00DF5CEA">
          <w:pPr>
            <w:pStyle w:val="afd"/>
            <w:spacing w:before="0" w:after="120" w:line="360" w:lineRule="exact"/>
          </w:pPr>
          <w:r>
            <w:t>Оглавление</w:t>
          </w:r>
        </w:p>
        <w:p w14:paraId="62CD7569" w14:textId="77777777" w:rsidR="00DF5CEA" w:rsidRDefault="00DF5CEA" w:rsidP="00DF5CEA">
          <w:pPr>
            <w:pStyle w:val="14"/>
            <w:tabs>
              <w:tab w:val="right" w:leader="dot" w:pos="9109"/>
            </w:tabs>
            <w:spacing w:after="120" w:line="360" w:lineRule="exact"/>
            <w:rPr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06774049" w:history="1">
            <w:r w:rsidRPr="004E045A">
              <w:rPr>
                <w:rStyle w:val="afe"/>
                <w:rFonts w:ascii="Times New Roman" w:hAnsi="Times New Roman" w:cs="Times New Roman"/>
                <w:noProof/>
                <w:lang w:val="ru-RU"/>
              </w:rPr>
              <w:t>Краткое содержание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_Toc206774049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1E3879" w14:textId="77777777" w:rsidR="00DF5CEA" w:rsidRDefault="00DF5CEA" w:rsidP="00DF5CEA">
          <w:pPr>
            <w:pStyle w:val="14"/>
            <w:tabs>
              <w:tab w:val="right" w:leader="dot" w:pos="9109"/>
            </w:tabs>
            <w:spacing w:after="120" w:line="360" w:lineRule="exact"/>
            <w:rPr>
              <w:noProof/>
            </w:rPr>
          </w:pPr>
          <w:hyperlink w:anchor="_Toc206774050" w:history="1">
            <w:r w:rsidRPr="004E045A">
              <w:rPr>
                <w:rStyle w:val="afe"/>
                <w:rFonts w:ascii="Times New Roman" w:hAnsi="Times New Roman" w:cs="Times New Roman"/>
                <w:noProof/>
                <w:lang w:val="ru-RU"/>
              </w:rPr>
              <w:t>Ключевые термины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_Toc206774050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697969" w14:textId="77777777" w:rsidR="00DF5CEA" w:rsidRDefault="00DF5CEA" w:rsidP="00DF5CEA">
          <w:pPr>
            <w:pStyle w:val="14"/>
            <w:tabs>
              <w:tab w:val="right" w:leader="dot" w:pos="9109"/>
            </w:tabs>
            <w:spacing w:after="120" w:line="360" w:lineRule="exact"/>
            <w:rPr>
              <w:noProof/>
            </w:rPr>
          </w:pPr>
          <w:hyperlink w:anchor="_Toc206774051" w:history="1">
            <w:r w:rsidRPr="004E045A">
              <w:rPr>
                <w:rStyle w:val="afe"/>
                <w:rFonts w:ascii="Times New Roman" w:hAnsi="Times New Roman" w:cs="Times New Roman"/>
                <w:noProof/>
                <w:lang w:val="ru-RU"/>
              </w:rPr>
              <w:t>1. 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_Toc206774051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6389EE" w14:textId="77777777" w:rsidR="00DF5CEA" w:rsidRDefault="00DF5CEA" w:rsidP="00DF5CEA">
          <w:pPr>
            <w:pStyle w:val="14"/>
            <w:tabs>
              <w:tab w:val="right" w:leader="dot" w:pos="9109"/>
            </w:tabs>
            <w:spacing w:after="120" w:line="360" w:lineRule="exact"/>
            <w:rPr>
              <w:noProof/>
            </w:rPr>
          </w:pPr>
          <w:hyperlink w:anchor="_Toc206774052" w:history="1">
            <w:r w:rsidRPr="004E045A">
              <w:rPr>
                <w:rStyle w:val="afe"/>
                <w:rFonts w:ascii="Times New Roman" w:hAnsi="Times New Roman" w:cs="Times New Roman"/>
                <w:noProof/>
                <w:lang w:val="ru-RU"/>
              </w:rPr>
              <w:t>2. Методология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_Toc206774052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AF7907" w14:textId="77777777" w:rsidR="00DF5CEA" w:rsidRDefault="00DF5CEA" w:rsidP="00DF5CEA">
          <w:pPr>
            <w:pStyle w:val="14"/>
            <w:tabs>
              <w:tab w:val="right" w:leader="dot" w:pos="9109"/>
            </w:tabs>
            <w:spacing w:after="120" w:line="360" w:lineRule="exact"/>
            <w:rPr>
              <w:noProof/>
            </w:rPr>
          </w:pPr>
          <w:hyperlink w:anchor="_Toc206774053" w:history="1">
            <w:r w:rsidRPr="004E045A">
              <w:rPr>
                <w:rStyle w:val="afe"/>
                <w:rFonts w:ascii="Times New Roman" w:hAnsi="Times New Roman" w:cs="Times New Roman"/>
                <w:noProof/>
                <w:lang w:val="ru-RU"/>
              </w:rPr>
              <w:t>3. Обзор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_Toc206774053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C2EE45" w14:textId="77777777" w:rsidR="00DF5CEA" w:rsidRDefault="00DF5CEA" w:rsidP="00DF5CEA">
          <w:pPr>
            <w:pStyle w:val="14"/>
            <w:tabs>
              <w:tab w:val="right" w:leader="dot" w:pos="9109"/>
            </w:tabs>
            <w:spacing w:after="120" w:line="360" w:lineRule="exact"/>
            <w:rPr>
              <w:noProof/>
            </w:rPr>
          </w:pPr>
          <w:hyperlink w:anchor="_Toc206774054" w:history="1">
            <w:r w:rsidRPr="004E045A">
              <w:rPr>
                <w:rStyle w:val="afe"/>
                <w:rFonts w:ascii="Times New Roman" w:hAnsi="Times New Roman" w:cs="Times New Roman"/>
                <w:noProof/>
                <w:lang w:val="ru-RU"/>
              </w:rPr>
              <w:t>3.1. Терминология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_Toc206774054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B6FAF" w14:textId="77777777" w:rsidR="00DF5CEA" w:rsidRDefault="00DF5CEA" w:rsidP="00DF5CEA">
          <w:pPr>
            <w:pStyle w:val="14"/>
            <w:tabs>
              <w:tab w:val="right" w:leader="dot" w:pos="9109"/>
            </w:tabs>
            <w:spacing w:after="120" w:line="360" w:lineRule="exact"/>
            <w:rPr>
              <w:noProof/>
            </w:rPr>
          </w:pPr>
          <w:hyperlink w:anchor="_Toc206774055" w:history="1">
            <w:r w:rsidRPr="004E045A">
              <w:rPr>
                <w:rStyle w:val="afe"/>
                <w:rFonts w:ascii="Times New Roman" w:hAnsi="Times New Roman" w:cs="Times New Roman"/>
                <w:noProof/>
                <w:lang w:val="ru-RU"/>
              </w:rPr>
              <w:t>3.2. Тематический обзор основополагающих принципов IADI (2023 год)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_Toc206774055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386345" w14:textId="77777777" w:rsidR="00DF5CEA" w:rsidRDefault="00DF5CEA" w:rsidP="00DF5CEA">
          <w:pPr>
            <w:pStyle w:val="14"/>
            <w:tabs>
              <w:tab w:val="right" w:leader="dot" w:pos="9109"/>
            </w:tabs>
            <w:spacing w:after="120" w:line="360" w:lineRule="exact"/>
            <w:rPr>
              <w:noProof/>
            </w:rPr>
          </w:pPr>
          <w:hyperlink w:anchor="_Toc206774056" w:history="1">
            <w:r w:rsidRPr="004E045A">
              <w:rPr>
                <w:rStyle w:val="afe"/>
                <w:rFonts w:ascii="Times New Roman" w:hAnsi="Times New Roman" w:cs="Times New Roman"/>
                <w:noProof/>
                <w:lang w:val="ru-RU"/>
              </w:rPr>
              <w:t>3.3. Последние проведенные моделирования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_Toc206774056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451E9D" w14:textId="77777777" w:rsidR="00DF5CEA" w:rsidRDefault="00DF5CEA" w:rsidP="00DF5CEA">
          <w:pPr>
            <w:pStyle w:val="14"/>
            <w:tabs>
              <w:tab w:val="right" w:leader="dot" w:pos="9109"/>
            </w:tabs>
            <w:spacing w:after="120" w:line="360" w:lineRule="exact"/>
            <w:rPr>
              <w:noProof/>
            </w:rPr>
          </w:pPr>
          <w:hyperlink w:anchor="_Toc206774057" w:history="1">
            <w:r w:rsidRPr="004E045A">
              <w:rPr>
                <w:rStyle w:val="afe"/>
                <w:rFonts w:ascii="Times New Roman" w:hAnsi="Times New Roman" w:cs="Times New Roman"/>
                <w:noProof/>
                <w:lang w:val="ru-RU"/>
              </w:rPr>
              <w:t>4. Анализ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_Toc206774057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B450FD" w14:textId="77777777" w:rsidR="00DF5CEA" w:rsidRDefault="00DF5CEA" w:rsidP="00DF5CEA">
          <w:pPr>
            <w:pStyle w:val="14"/>
            <w:tabs>
              <w:tab w:val="right" w:leader="dot" w:pos="9109"/>
            </w:tabs>
            <w:spacing w:after="120" w:line="360" w:lineRule="exact"/>
            <w:rPr>
              <w:noProof/>
            </w:rPr>
          </w:pPr>
          <w:hyperlink w:anchor="_Toc206774058" w:history="1">
            <w:r w:rsidRPr="004E045A">
              <w:rPr>
                <w:rStyle w:val="afe"/>
                <w:rFonts w:ascii="Times New Roman" w:hAnsi="Times New Roman" w:cs="Times New Roman"/>
                <w:noProof/>
                <w:lang w:val="ru-RU"/>
              </w:rPr>
              <w:t>4.1. Составление программы проверки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_Toc206774058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93DF97" w14:textId="77777777" w:rsidR="00DF5CEA" w:rsidRDefault="00DF5CEA" w:rsidP="00DF5CEA">
          <w:pPr>
            <w:pStyle w:val="14"/>
            <w:tabs>
              <w:tab w:val="right" w:leader="dot" w:pos="9109"/>
            </w:tabs>
            <w:spacing w:after="120" w:line="360" w:lineRule="exact"/>
            <w:rPr>
              <w:noProof/>
            </w:rPr>
          </w:pPr>
          <w:hyperlink w:anchor="_Toc206774059" w:history="1">
            <w:r w:rsidRPr="004E045A">
              <w:rPr>
                <w:rStyle w:val="afe"/>
                <w:rFonts w:ascii="Times New Roman" w:hAnsi="Times New Roman" w:cs="Times New Roman"/>
                <w:noProof/>
                <w:lang w:val="ru-RU"/>
              </w:rPr>
              <w:t>4.2. Выводы, сформулированные из тестов, и связь с реальными случаями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_Toc206774059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F569FD" w14:textId="77777777" w:rsidR="00DF5CEA" w:rsidRDefault="00DF5CEA" w:rsidP="00DF5CEA">
          <w:pPr>
            <w:pStyle w:val="25"/>
            <w:tabs>
              <w:tab w:val="left" w:pos="1100"/>
              <w:tab w:val="right" w:leader="dot" w:pos="9109"/>
            </w:tabs>
            <w:spacing w:after="120" w:line="360" w:lineRule="exact"/>
            <w:rPr>
              <w:noProof/>
            </w:rPr>
          </w:pPr>
          <w:hyperlink w:anchor="_Toc206774060" w:history="1">
            <w:r w:rsidRPr="004E045A">
              <w:rPr>
                <w:rStyle w:val="afe"/>
                <w:noProof/>
                <w:shd w:val="clear" w:color="auto" w:fill="FFFFFF"/>
                <w:lang w:val="ru-RU"/>
              </w:rPr>
              <w:t>4.2.1.</w:t>
            </w:r>
            <w:r>
              <w:rPr>
                <w:noProof/>
              </w:rPr>
              <w:tab/>
            </w:r>
            <w:r w:rsidRPr="004E045A">
              <w:rPr>
                <w:rStyle w:val="afe"/>
                <w:rFonts w:ascii="Times New Roman" w:hAnsi="Times New Roman" w:cs="Times New Roman"/>
                <w:noProof/>
                <w:lang w:val="ru-RU"/>
              </w:rPr>
              <w:t>Выводы, сформулированные на основании результатов тестирования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_Toc206774060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EFE959" w14:textId="77777777" w:rsidR="00DF5CEA" w:rsidRDefault="00DF5CEA" w:rsidP="00DF5CEA">
          <w:pPr>
            <w:pStyle w:val="14"/>
            <w:tabs>
              <w:tab w:val="right" w:leader="dot" w:pos="9109"/>
            </w:tabs>
            <w:spacing w:after="120" w:line="360" w:lineRule="exact"/>
            <w:rPr>
              <w:noProof/>
            </w:rPr>
          </w:pPr>
          <w:hyperlink w:anchor="_Toc206774061" w:history="1">
            <w:r w:rsidRPr="004E045A">
              <w:rPr>
                <w:rStyle w:val="afe"/>
                <w:rFonts w:ascii="Times New Roman" w:hAnsi="Times New Roman" w:cs="Times New Roman"/>
                <w:noProof/>
                <w:lang w:val="ru-RU"/>
              </w:rPr>
              <w:t>4.2.2. При</w:t>
            </w:r>
            <w:r w:rsidRPr="004E045A">
              <w:rPr>
                <w:rStyle w:val="afe"/>
                <w:rFonts w:ascii="Times New Roman" w:hAnsi="Times New Roman" w:cs="Times New Roman"/>
                <w:noProof/>
                <w:lang w:val="ru-RU"/>
              </w:rPr>
              <w:t>м</w:t>
            </w:r>
            <w:r w:rsidRPr="004E045A">
              <w:rPr>
                <w:rStyle w:val="afe"/>
                <w:rFonts w:ascii="Times New Roman" w:hAnsi="Times New Roman" w:cs="Times New Roman"/>
                <w:noProof/>
                <w:lang w:val="ru-RU"/>
              </w:rPr>
              <w:t>енение полученных данных в реальной жизни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_Toc206774061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DD4E66" w14:textId="77777777" w:rsidR="00DF5CEA" w:rsidRDefault="00DF5CEA" w:rsidP="00DF5CEA">
          <w:pPr>
            <w:pStyle w:val="14"/>
            <w:tabs>
              <w:tab w:val="right" w:leader="dot" w:pos="9109"/>
            </w:tabs>
            <w:spacing w:after="120" w:line="360" w:lineRule="exact"/>
            <w:rPr>
              <w:noProof/>
            </w:rPr>
          </w:pPr>
          <w:hyperlink w:anchor="_Toc206774065" w:history="1">
            <w:r w:rsidRPr="004E045A">
              <w:rPr>
                <w:rStyle w:val="afe"/>
                <w:rFonts w:ascii="Times New Roman" w:hAnsi="Times New Roman" w:cs="Times New Roman"/>
                <w:noProof/>
                <w:lang w:val="ru-RU"/>
              </w:rPr>
              <w:t>4.2.3. Влияние банкротства банков на программы тестирования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_Toc206774065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158616" w14:textId="77777777" w:rsidR="00DF5CEA" w:rsidRDefault="00DF5CEA" w:rsidP="00DF5CEA">
          <w:pPr>
            <w:pStyle w:val="14"/>
            <w:tabs>
              <w:tab w:val="right" w:leader="dot" w:pos="9109"/>
            </w:tabs>
            <w:spacing w:after="120" w:line="360" w:lineRule="exact"/>
            <w:rPr>
              <w:noProof/>
            </w:rPr>
          </w:pPr>
          <w:hyperlink w:anchor="_Toc206774066" w:history="1">
            <w:r w:rsidRPr="004E045A">
              <w:rPr>
                <w:rStyle w:val="afe"/>
                <w:rFonts w:ascii="Times New Roman" w:hAnsi="Times New Roman" w:cs="Times New Roman"/>
                <w:noProof/>
                <w:lang w:val="ru-RU"/>
              </w:rPr>
              <w:t>4.2.3. Ограничения моделирования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_Toc206774066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C5A41B" w14:textId="77777777" w:rsidR="00DF5CEA" w:rsidRDefault="00DF5CEA" w:rsidP="00DF5CEA">
          <w:pPr>
            <w:pStyle w:val="14"/>
            <w:tabs>
              <w:tab w:val="right" w:leader="dot" w:pos="9109"/>
            </w:tabs>
            <w:spacing w:after="120" w:line="360" w:lineRule="exact"/>
            <w:rPr>
              <w:noProof/>
            </w:rPr>
          </w:pPr>
          <w:hyperlink w:anchor="_Toc206774067" w:history="1">
            <w:r w:rsidRPr="004E045A">
              <w:rPr>
                <w:rStyle w:val="afe"/>
                <w:rFonts w:ascii="Times New Roman" w:hAnsi="Times New Roman" w:cs="Times New Roman"/>
                <w:noProof/>
                <w:lang w:val="ru-RU"/>
              </w:rPr>
              <w:t>4.3. Сведения об изменениях, полученные от участников доклада RCNA за период с 2021 года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_Toc206774067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35566F" w14:textId="77777777" w:rsidR="00DF5CEA" w:rsidRDefault="00DF5CEA" w:rsidP="00DF5CEA">
          <w:pPr>
            <w:pStyle w:val="14"/>
            <w:tabs>
              <w:tab w:val="right" w:leader="dot" w:pos="9109"/>
            </w:tabs>
            <w:spacing w:after="120" w:line="360" w:lineRule="exact"/>
            <w:rPr>
              <w:noProof/>
            </w:rPr>
          </w:pPr>
          <w:hyperlink w:anchor="_Toc206774068" w:history="1">
            <w:r w:rsidRPr="004E045A">
              <w:rPr>
                <w:rStyle w:val="afe"/>
                <w:rFonts w:ascii="Times New Roman" w:hAnsi="Times New Roman" w:cs="Times New Roman"/>
                <w:noProof/>
                <w:lang w:val="ru-RU"/>
              </w:rPr>
              <w:t>4.3.1. AMF (Квебек)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_Toc206774068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41A3C2" w14:textId="77777777" w:rsidR="00DF5CEA" w:rsidRDefault="00DF5CEA" w:rsidP="00DF5CEA">
          <w:pPr>
            <w:pStyle w:val="14"/>
            <w:tabs>
              <w:tab w:val="right" w:leader="dot" w:pos="9109"/>
            </w:tabs>
            <w:spacing w:after="120" w:line="360" w:lineRule="exact"/>
            <w:rPr>
              <w:noProof/>
            </w:rPr>
          </w:pPr>
          <w:hyperlink w:anchor="_Toc206774069" w:history="1">
            <w:r w:rsidRPr="004E045A">
              <w:rPr>
                <w:rStyle w:val="afe"/>
                <w:rFonts w:ascii="Times New Roman" w:hAnsi="Times New Roman" w:cs="Times New Roman"/>
                <w:noProof/>
                <w:lang w:val="ru-RU"/>
              </w:rPr>
              <w:t xml:space="preserve">4.3.2. </w:t>
            </w:r>
            <w:r w:rsidRPr="004E045A">
              <w:rPr>
                <w:rStyle w:val="afe"/>
                <w:rFonts w:ascii="Times New Roman" w:hAnsi="Times New Roman" w:cs="Times New Roman"/>
                <w:noProof/>
              </w:rPr>
              <w:t>FDIC</w:t>
            </w:r>
            <w:r w:rsidRPr="004E045A">
              <w:rPr>
                <w:rStyle w:val="afe"/>
                <w:rFonts w:ascii="Times New Roman" w:hAnsi="Times New Roman" w:cs="Times New Roman"/>
                <w:noProof/>
                <w:lang w:val="ru-RU"/>
              </w:rPr>
              <w:t xml:space="preserve"> (США)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_Toc206774069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34359A" w14:textId="77777777" w:rsidR="00DF5CEA" w:rsidRDefault="00DF5CEA" w:rsidP="00DF5CEA">
          <w:pPr>
            <w:pStyle w:val="14"/>
            <w:tabs>
              <w:tab w:val="right" w:leader="dot" w:pos="9109"/>
            </w:tabs>
            <w:spacing w:after="120" w:line="360" w:lineRule="exact"/>
            <w:rPr>
              <w:noProof/>
            </w:rPr>
          </w:pPr>
          <w:hyperlink w:anchor="_Toc206774070" w:history="1">
            <w:r w:rsidRPr="004E045A">
              <w:rPr>
                <w:rStyle w:val="afe"/>
                <w:rFonts w:ascii="Times New Roman" w:hAnsi="Times New Roman" w:cs="Times New Roman"/>
                <w:noProof/>
                <w:lang w:val="ru-RU"/>
              </w:rPr>
              <w:t xml:space="preserve">4.3.3. </w:t>
            </w:r>
            <w:r w:rsidRPr="004E045A">
              <w:rPr>
                <w:rStyle w:val="afe"/>
                <w:rFonts w:ascii="Times New Roman" w:hAnsi="Times New Roman" w:cs="Times New Roman"/>
                <w:noProof/>
              </w:rPr>
              <w:t>IPAB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_Toc206774070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90C8A" w14:textId="77777777" w:rsidR="00DF5CEA" w:rsidRDefault="00DF5CEA" w:rsidP="00DF5CEA">
          <w:pPr>
            <w:pStyle w:val="14"/>
            <w:tabs>
              <w:tab w:val="right" w:leader="dot" w:pos="9109"/>
            </w:tabs>
            <w:spacing w:after="120" w:line="360" w:lineRule="exact"/>
            <w:rPr>
              <w:noProof/>
            </w:rPr>
          </w:pPr>
          <w:hyperlink w:anchor="_Toc206774071" w:history="1">
            <w:r w:rsidRPr="004E045A">
              <w:rPr>
                <w:rStyle w:val="afe"/>
                <w:rFonts w:ascii="Times New Roman" w:hAnsi="Times New Roman" w:cs="Times New Roman"/>
                <w:noProof/>
                <w:lang w:val="ru-RU"/>
              </w:rPr>
              <w:t xml:space="preserve">4.3.4. </w:t>
            </w:r>
            <w:r w:rsidRPr="004E045A">
              <w:rPr>
                <w:rStyle w:val="afe"/>
                <w:rFonts w:ascii="Times New Roman" w:hAnsi="Times New Roman" w:cs="Times New Roman"/>
                <w:noProof/>
              </w:rPr>
              <w:t>CDIC</w:t>
            </w:r>
            <w:r w:rsidRPr="004E045A">
              <w:rPr>
                <w:rStyle w:val="afe"/>
                <w:rFonts w:ascii="Times New Roman" w:hAnsi="Times New Roman" w:cs="Times New Roman"/>
                <w:noProof/>
                <w:lang w:val="ru-RU"/>
              </w:rPr>
              <w:t xml:space="preserve"> (Канада)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_Toc206774071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6301CC" w14:textId="77777777" w:rsidR="00DF5CEA" w:rsidRDefault="00DF5CEA" w:rsidP="00DF5CEA">
          <w:pPr>
            <w:pStyle w:val="14"/>
            <w:tabs>
              <w:tab w:val="right" w:leader="dot" w:pos="9109"/>
            </w:tabs>
            <w:spacing w:after="120" w:line="360" w:lineRule="exact"/>
            <w:rPr>
              <w:noProof/>
            </w:rPr>
          </w:pPr>
          <w:hyperlink w:anchor="_Toc206774072" w:history="1">
            <w:r w:rsidRPr="004E045A">
              <w:rPr>
                <w:rStyle w:val="afe"/>
                <w:rFonts w:ascii="Times New Roman" w:hAnsi="Times New Roman" w:cs="Times New Roman"/>
                <w:noProof/>
                <w:lang w:val="ru-RU"/>
              </w:rPr>
              <w:t>5. 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_Toc206774072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48B41F" w14:textId="77777777" w:rsidR="00DF5CEA" w:rsidRDefault="00DF5CEA" w:rsidP="00DF5CEA">
          <w:pPr>
            <w:pStyle w:val="14"/>
            <w:tabs>
              <w:tab w:val="right" w:leader="dot" w:pos="9109"/>
            </w:tabs>
            <w:spacing w:after="120" w:line="360" w:lineRule="exact"/>
            <w:rPr>
              <w:noProof/>
            </w:rPr>
          </w:pPr>
          <w:hyperlink w:anchor="_Toc206774073" w:history="1">
            <w:r w:rsidRPr="004E045A">
              <w:rPr>
                <w:rStyle w:val="afe"/>
                <w:rFonts w:ascii="Times New Roman" w:hAnsi="Times New Roman" w:cs="Times New Roman"/>
                <w:noProof/>
                <w:lang w:val="ru-RU"/>
              </w:rPr>
              <w:t>Библиография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_Toc206774073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32C7E7" w14:textId="77777777" w:rsidR="00DF5CEA" w:rsidRDefault="00DF5CEA" w:rsidP="00DF5CEA">
          <w:pPr>
            <w:pStyle w:val="14"/>
            <w:tabs>
              <w:tab w:val="right" w:leader="dot" w:pos="9109"/>
            </w:tabs>
            <w:spacing w:after="120" w:line="360" w:lineRule="exact"/>
            <w:rPr>
              <w:noProof/>
            </w:rPr>
          </w:pPr>
          <w:hyperlink w:anchor="_Toc206774074" w:history="1">
            <w:r w:rsidRPr="004E045A">
              <w:rPr>
                <w:rStyle w:val="afe"/>
                <w:rFonts w:ascii="Times New Roman" w:hAnsi="Times New Roman" w:cs="Times New Roman"/>
                <w:noProof/>
                <w:lang w:val="ru-RU"/>
              </w:rPr>
              <w:t>Приложение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_Toc206774074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DA57E4" w14:textId="0E2BBD11" w:rsidR="00DF5CEA" w:rsidRDefault="00DF5CEA" w:rsidP="00DF5CEA">
          <w:pPr>
            <w:spacing w:after="120" w:line="360" w:lineRule="exact"/>
          </w:pPr>
          <w:r>
            <w:rPr>
              <w:b/>
              <w:bCs/>
            </w:rPr>
            <w:fldChar w:fldCharType="end"/>
          </w:r>
        </w:p>
      </w:sdtContent>
    </w:sdt>
    <w:p w14:paraId="6E73BB53" w14:textId="607B6229" w:rsidR="00DF5CEA" w:rsidRDefault="00DF5CEA">
      <w:pPr>
        <w:rPr>
          <w:rFonts w:ascii="Times New Roman" w:eastAsia="Segoe UI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14:paraId="68E65D7B" w14:textId="14F9BB5F" w:rsidR="001B0301" w:rsidRPr="006B46C7" w:rsidRDefault="005343FE">
      <w:pPr>
        <w:pStyle w:val="11"/>
        <w:spacing w:after="56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1E2E8B"/>
          <w:sz w:val="24"/>
          <w:szCs w:val="24"/>
          <w:lang w:val="ru-RU"/>
        </w:rPr>
        <w:t>Список сокращений</w:t>
      </w:r>
    </w:p>
    <w:tbl>
      <w:tblPr>
        <w:tblOverlap w:val="never"/>
        <w:tblW w:w="94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"/>
        <w:gridCol w:w="8552"/>
      </w:tblGrid>
      <w:tr w:rsidR="001B0301" w:rsidRPr="006B46C7" w14:paraId="43462F17" w14:textId="77777777" w:rsidTr="000B5403">
        <w:trPr>
          <w:trHeight w:val="510"/>
        </w:trPr>
        <w:tc>
          <w:tcPr>
            <w:tcW w:w="946" w:type="dxa"/>
            <w:shd w:val="clear" w:color="auto" w:fill="FFFFFF"/>
            <w:vAlign w:val="center"/>
          </w:tcPr>
          <w:p w14:paraId="689D1B1C" w14:textId="33C13F96" w:rsidR="001B0301" w:rsidRPr="006B46C7" w:rsidRDefault="000B5403" w:rsidP="000B5403">
            <w:pPr>
              <w:pStyle w:val="a9"/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AMF</w:t>
            </w:r>
          </w:p>
        </w:tc>
        <w:tc>
          <w:tcPr>
            <w:tcW w:w="8552" w:type="dxa"/>
            <w:shd w:val="clear" w:color="auto" w:fill="FFFFFF"/>
            <w:vAlign w:val="center"/>
          </w:tcPr>
          <w:p w14:paraId="6E2602CC" w14:textId="100C4748" w:rsidR="001B0301" w:rsidRPr="006B46C7" w:rsidRDefault="004D2C53" w:rsidP="000B5403">
            <w:pPr>
              <w:pStyle w:val="a9"/>
              <w:spacing w:after="0" w:line="360" w:lineRule="exact"/>
              <w:ind w:left="4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по финансовым рынкам (Квебек)</w:t>
            </w:r>
          </w:p>
        </w:tc>
      </w:tr>
      <w:tr w:rsidR="001B0301" w:rsidRPr="00B6286F" w14:paraId="201F73FA" w14:textId="77777777" w:rsidTr="000B5403">
        <w:trPr>
          <w:trHeight w:val="510"/>
        </w:trPr>
        <w:tc>
          <w:tcPr>
            <w:tcW w:w="946" w:type="dxa"/>
            <w:shd w:val="clear" w:color="auto" w:fill="FFFFFF"/>
            <w:vAlign w:val="center"/>
          </w:tcPr>
          <w:p w14:paraId="76895D3E" w14:textId="6FB6C857" w:rsidR="001B0301" w:rsidRPr="006B46C7" w:rsidRDefault="000B5403" w:rsidP="000B5403">
            <w:pPr>
              <w:pStyle w:val="a9"/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BFG</w:t>
            </w:r>
          </w:p>
        </w:tc>
        <w:tc>
          <w:tcPr>
            <w:tcW w:w="8552" w:type="dxa"/>
            <w:shd w:val="clear" w:color="auto" w:fill="FFFFFF"/>
            <w:vAlign w:val="center"/>
          </w:tcPr>
          <w:p w14:paraId="0ECB1634" w14:textId="61FF498F" w:rsidR="001B0301" w:rsidRPr="006B46C7" w:rsidRDefault="0034525D" w:rsidP="000B5403">
            <w:pPr>
              <w:pStyle w:val="a9"/>
              <w:spacing w:after="0" w:line="360" w:lineRule="exact"/>
              <w:ind w:left="4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Банговский гарантийный фонд</w:t>
            </w:r>
          </w:p>
        </w:tc>
      </w:tr>
      <w:tr w:rsidR="001B0301" w:rsidRPr="006B46C7" w14:paraId="080B02CE" w14:textId="77777777" w:rsidTr="000B5403">
        <w:trPr>
          <w:trHeight w:val="510"/>
        </w:trPr>
        <w:tc>
          <w:tcPr>
            <w:tcW w:w="946" w:type="dxa"/>
            <w:shd w:val="clear" w:color="auto" w:fill="FFFFFF"/>
            <w:vAlign w:val="center"/>
          </w:tcPr>
          <w:p w14:paraId="71B1024D" w14:textId="602473EF" w:rsidR="001B0301" w:rsidRPr="006B46C7" w:rsidRDefault="000B5403" w:rsidP="000B5403">
            <w:pPr>
              <w:pStyle w:val="a9"/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CDIC</w:t>
            </w:r>
          </w:p>
        </w:tc>
        <w:tc>
          <w:tcPr>
            <w:tcW w:w="8552" w:type="dxa"/>
            <w:shd w:val="clear" w:color="auto" w:fill="FFFFFF"/>
            <w:vAlign w:val="center"/>
          </w:tcPr>
          <w:p w14:paraId="2EB244ED" w14:textId="725B0690" w:rsidR="001B0301" w:rsidRPr="006B46C7" w:rsidRDefault="004D2C53" w:rsidP="000B5403">
            <w:pPr>
              <w:pStyle w:val="a9"/>
              <w:spacing w:after="0" w:line="360" w:lineRule="exact"/>
              <w:ind w:left="4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Канадская корпорация </w:t>
            </w:r>
            <w:r w:rsidR="0020166A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страховани</w:t>
            </w:r>
            <w:r w:rsidR="0020166A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4525D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вкладов</w:t>
            </w:r>
          </w:p>
        </w:tc>
      </w:tr>
      <w:tr w:rsidR="001B0301" w:rsidRPr="00B6286F" w14:paraId="1300CC55" w14:textId="77777777" w:rsidTr="000B5403">
        <w:trPr>
          <w:trHeight w:val="510"/>
        </w:trPr>
        <w:tc>
          <w:tcPr>
            <w:tcW w:w="946" w:type="dxa"/>
            <w:shd w:val="clear" w:color="auto" w:fill="FFFFFF"/>
            <w:vAlign w:val="center"/>
          </w:tcPr>
          <w:p w14:paraId="29774FFC" w14:textId="09775684" w:rsidR="001B0301" w:rsidRPr="006B46C7" w:rsidRDefault="000B5403" w:rsidP="000B5403">
            <w:pPr>
              <w:pStyle w:val="a9"/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COE</w:t>
            </w:r>
          </w:p>
        </w:tc>
        <w:tc>
          <w:tcPr>
            <w:tcW w:w="8552" w:type="dxa"/>
            <w:shd w:val="clear" w:color="auto" w:fill="FFFFFF"/>
            <w:vAlign w:val="center"/>
          </w:tcPr>
          <w:p w14:paraId="61444465" w14:textId="0FDEAC9C" w:rsidR="001B0301" w:rsidRPr="006B46C7" w:rsidRDefault="004D2C53" w:rsidP="000B5403">
            <w:pPr>
              <w:pStyle w:val="a9"/>
              <w:spacing w:after="0" w:line="360" w:lineRule="exact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Центр передового опыта</w:t>
            </w:r>
            <w:r w:rsidR="000B5403">
              <w:rPr>
                <w:rFonts w:ascii="Times New Roman" w:hAnsi="Times New Roman" w:cs="Times New Roman"/>
                <w:sz w:val="24"/>
                <w:szCs w:val="24"/>
              </w:rPr>
              <w:t xml:space="preserve"> (CDIC)</w:t>
            </w:r>
          </w:p>
        </w:tc>
      </w:tr>
      <w:tr w:rsidR="001B0301" w:rsidRPr="006B46C7" w14:paraId="66CB297B" w14:textId="77777777" w:rsidTr="000B5403">
        <w:trPr>
          <w:trHeight w:val="510"/>
        </w:trPr>
        <w:tc>
          <w:tcPr>
            <w:tcW w:w="946" w:type="dxa"/>
            <w:shd w:val="clear" w:color="auto" w:fill="FFFFFF"/>
            <w:vAlign w:val="center"/>
          </w:tcPr>
          <w:p w14:paraId="20AB931A" w14:textId="1464F948" w:rsidR="001B0301" w:rsidRPr="006B46C7" w:rsidRDefault="000B5403" w:rsidP="000B5403">
            <w:pPr>
              <w:pStyle w:val="a9"/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4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CISR</w:t>
            </w:r>
          </w:p>
        </w:tc>
        <w:tc>
          <w:tcPr>
            <w:tcW w:w="8552" w:type="dxa"/>
            <w:shd w:val="clear" w:color="auto" w:fill="FFFFFF"/>
            <w:vAlign w:val="center"/>
          </w:tcPr>
          <w:p w14:paraId="71370517" w14:textId="15C13A6F" w:rsidR="001B0301" w:rsidRPr="000B5403" w:rsidRDefault="004D2C53" w:rsidP="000B5403">
            <w:pPr>
              <w:pStyle w:val="a9"/>
              <w:spacing w:after="0" w:line="360" w:lineRule="exact"/>
              <w:ind w:left="4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Надзор за </w:t>
            </w:r>
            <w:r w:rsidR="000B3FF9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организациями со сложной структурой</w:t>
            </w: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урегулирование их несостоятельности</w:t>
            </w:r>
            <w:r w:rsidR="000B5403" w:rsidRPr="000B54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0B5403">
              <w:rPr>
                <w:rFonts w:ascii="Times New Roman" w:hAnsi="Times New Roman" w:cs="Times New Roman"/>
                <w:sz w:val="24"/>
                <w:szCs w:val="24"/>
              </w:rPr>
              <w:t>FDIC</w:t>
            </w:r>
            <w:r w:rsidR="000B5403" w:rsidRPr="000B54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1B0301" w:rsidRPr="00B6286F" w14:paraId="7A53A8B8" w14:textId="77777777" w:rsidTr="000B5403">
        <w:trPr>
          <w:trHeight w:val="510"/>
        </w:trPr>
        <w:tc>
          <w:tcPr>
            <w:tcW w:w="946" w:type="dxa"/>
            <w:shd w:val="clear" w:color="auto" w:fill="FFFFFF"/>
            <w:vAlign w:val="center"/>
          </w:tcPr>
          <w:p w14:paraId="1B0343B4" w14:textId="7A32C368" w:rsidR="001B0301" w:rsidRPr="006B46C7" w:rsidRDefault="000B5403" w:rsidP="000B5403">
            <w:pPr>
              <w:pStyle w:val="a9"/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CMD</w:t>
            </w:r>
          </w:p>
        </w:tc>
        <w:tc>
          <w:tcPr>
            <w:tcW w:w="8552" w:type="dxa"/>
            <w:shd w:val="clear" w:color="auto" w:fill="FFFFFF"/>
            <w:vAlign w:val="center"/>
          </w:tcPr>
          <w:p w14:paraId="67491912" w14:textId="6970DB78" w:rsidR="001B0301" w:rsidRPr="006B46C7" w:rsidRDefault="00E56388" w:rsidP="000B5403">
            <w:pPr>
              <w:pStyle w:val="a9"/>
              <w:spacing w:after="0" w:line="360" w:lineRule="exact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</w:t>
            </w:r>
            <w:r w:rsidR="004D2C53" w:rsidRPr="006B46C7">
              <w:rPr>
                <w:rFonts w:ascii="Times New Roman" w:hAnsi="Times New Roman" w:cs="Times New Roman"/>
                <w:sz w:val="24"/>
                <w:szCs w:val="24"/>
              </w:rPr>
              <w:t xml:space="preserve"> кризисного управления</w:t>
            </w:r>
            <w:r w:rsidR="000B5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403" w:rsidRPr="000B5403">
              <w:rPr>
                <w:rFonts w:ascii="Times New Roman" w:hAnsi="Times New Roman" w:cs="Times New Roman"/>
                <w:sz w:val="24"/>
                <w:szCs w:val="24"/>
              </w:rPr>
              <w:t>(PIDM)</w:t>
            </w:r>
          </w:p>
        </w:tc>
      </w:tr>
      <w:tr w:rsidR="001B0301" w:rsidRPr="006B46C7" w14:paraId="620CDE70" w14:textId="77777777" w:rsidTr="000B5403">
        <w:trPr>
          <w:trHeight w:val="510"/>
        </w:trPr>
        <w:tc>
          <w:tcPr>
            <w:tcW w:w="946" w:type="dxa"/>
            <w:shd w:val="clear" w:color="auto" w:fill="FFFFFF"/>
            <w:vAlign w:val="center"/>
          </w:tcPr>
          <w:p w14:paraId="767C8B3C" w14:textId="04DD6DA4" w:rsidR="001B0301" w:rsidRPr="006B46C7" w:rsidRDefault="000B3FF9" w:rsidP="000B5403">
            <w:pPr>
              <w:pStyle w:val="a9"/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ОПС</w:t>
            </w:r>
            <w:r w:rsidR="00103344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552" w:type="dxa"/>
            <w:shd w:val="clear" w:color="auto" w:fill="FFFFFF"/>
            <w:vAlign w:val="center"/>
          </w:tcPr>
          <w:p w14:paraId="22F66852" w14:textId="29384B33" w:rsidR="001B0301" w:rsidRPr="000B5403" w:rsidRDefault="004D2C53" w:rsidP="000B5403">
            <w:pPr>
              <w:pStyle w:val="a9"/>
              <w:spacing w:after="0" w:line="360" w:lineRule="exact"/>
              <w:ind w:left="4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Основополагающе принципы для эффективных систем страхования </w:t>
            </w:r>
            <w:r w:rsidR="000B3FF9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вкладов</w:t>
            </w:r>
            <w:r w:rsidR="000B5403" w:rsidRPr="000B54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B5403">
              <w:rPr>
                <w:rFonts w:ascii="Times New Roman" w:hAnsi="Times New Roman" w:cs="Times New Roman"/>
                <w:sz w:val="24"/>
                <w:szCs w:val="24"/>
              </w:rPr>
              <w:t>IADI</w:t>
            </w:r>
          </w:p>
        </w:tc>
      </w:tr>
      <w:tr w:rsidR="001B0301" w:rsidRPr="006B46C7" w14:paraId="55BF7A0F" w14:textId="77777777" w:rsidTr="000B5403">
        <w:trPr>
          <w:trHeight w:val="510"/>
        </w:trPr>
        <w:tc>
          <w:tcPr>
            <w:tcW w:w="946" w:type="dxa"/>
            <w:shd w:val="clear" w:color="auto" w:fill="FFFFFF"/>
            <w:vAlign w:val="center"/>
          </w:tcPr>
          <w:p w14:paraId="22BE67EC" w14:textId="4CA86E40" w:rsidR="001B0301" w:rsidRPr="006B46C7" w:rsidRDefault="000B5403" w:rsidP="000B5403">
            <w:pPr>
              <w:pStyle w:val="a9"/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CPRC</w:t>
            </w:r>
          </w:p>
        </w:tc>
        <w:tc>
          <w:tcPr>
            <w:tcW w:w="8552" w:type="dxa"/>
            <w:shd w:val="clear" w:color="auto" w:fill="FFFFFF"/>
            <w:vAlign w:val="center"/>
          </w:tcPr>
          <w:p w14:paraId="7DA59E86" w14:textId="0F63E1BE" w:rsidR="001B0301" w:rsidRPr="006B46C7" w:rsidRDefault="004D2C53" w:rsidP="000B5403">
            <w:pPr>
              <w:pStyle w:val="a9"/>
              <w:spacing w:after="0" w:line="360" w:lineRule="exact"/>
              <w:ind w:left="4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Комитет </w:t>
            </w:r>
            <w:r w:rsidR="0020166A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Основополагающи</w:t>
            </w:r>
            <w:r w:rsidR="0020166A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принцип</w:t>
            </w:r>
            <w:r w:rsidR="0020166A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</w:t>
            </w: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Исследовательского совета</w:t>
            </w:r>
            <w:r w:rsidR="000903F9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05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IADI</w:t>
            </w:r>
          </w:p>
        </w:tc>
      </w:tr>
      <w:tr w:rsidR="001B0301" w:rsidRPr="00B6286F" w14:paraId="56E9BFC8" w14:textId="77777777" w:rsidTr="000B5403">
        <w:trPr>
          <w:trHeight w:val="510"/>
        </w:trPr>
        <w:tc>
          <w:tcPr>
            <w:tcW w:w="946" w:type="dxa"/>
            <w:shd w:val="clear" w:color="auto" w:fill="FFFFFF"/>
            <w:vAlign w:val="center"/>
          </w:tcPr>
          <w:p w14:paraId="2DBA6333" w14:textId="003D46FA" w:rsidR="001B0301" w:rsidRPr="006B46C7" w:rsidRDefault="006B46C7" w:rsidP="000B5403">
            <w:pPr>
              <w:pStyle w:val="a9"/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ССВ</w:t>
            </w:r>
          </w:p>
        </w:tc>
        <w:tc>
          <w:tcPr>
            <w:tcW w:w="8552" w:type="dxa"/>
            <w:shd w:val="clear" w:color="auto" w:fill="FFFFFF"/>
            <w:vAlign w:val="center"/>
          </w:tcPr>
          <w:p w14:paraId="627C5585" w14:textId="1F05D9D7" w:rsidR="001B0301" w:rsidRPr="006B46C7" w:rsidRDefault="004D2C53" w:rsidP="000B5403">
            <w:pPr>
              <w:pStyle w:val="a9"/>
              <w:spacing w:after="0" w:line="360" w:lineRule="exact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166A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истема</w:t>
            </w: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страхования</w:t>
            </w:r>
            <w:r w:rsidR="000B3FF9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вкладов</w:t>
            </w:r>
          </w:p>
        </w:tc>
      </w:tr>
      <w:tr w:rsidR="001B0301" w:rsidRPr="00B6286F" w14:paraId="44E3669E" w14:textId="77777777" w:rsidTr="000B5403">
        <w:trPr>
          <w:trHeight w:val="510"/>
        </w:trPr>
        <w:tc>
          <w:tcPr>
            <w:tcW w:w="946" w:type="dxa"/>
            <w:shd w:val="clear" w:color="auto" w:fill="FFFFFF"/>
            <w:vAlign w:val="center"/>
          </w:tcPr>
          <w:p w14:paraId="606F4E25" w14:textId="1D1EA206" w:rsidR="001B0301" w:rsidRPr="006B46C7" w:rsidRDefault="000B5403" w:rsidP="000B5403">
            <w:pPr>
              <w:pStyle w:val="a9"/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DNB</w:t>
            </w:r>
          </w:p>
        </w:tc>
        <w:tc>
          <w:tcPr>
            <w:tcW w:w="8552" w:type="dxa"/>
            <w:shd w:val="clear" w:color="auto" w:fill="FFFFFF"/>
            <w:vAlign w:val="center"/>
          </w:tcPr>
          <w:p w14:paraId="2915D043" w14:textId="104D1896" w:rsidR="001B0301" w:rsidRPr="000B5403" w:rsidRDefault="000B3FF9" w:rsidP="000B5403">
            <w:pPr>
              <w:pStyle w:val="a9"/>
              <w:spacing w:after="0" w:line="360" w:lineRule="exact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Нидерландский банк</w:t>
            </w:r>
            <w:r w:rsidR="000B54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B54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центральный банк)</w:t>
            </w:r>
          </w:p>
        </w:tc>
      </w:tr>
      <w:tr w:rsidR="001B0301" w:rsidRPr="00B6286F" w14:paraId="7657BBCB" w14:textId="77777777" w:rsidTr="000B5403">
        <w:trPr>
          <w:trHeight w:val="510"/>
        </w:trPr>
        <w:tc>
          <w:tcPr>
            <w:tcW w:w="946" w:type="dxa"/>
            <w:shd w:val="clear" w:color="auto" w:fill="FFFFFF"/>
            <w:vAlign w:val="center"/>
          </w:tcPr>
          <w:p w14:paraId="62E491CA" w14:textId="2825D886" w:rsidR="001B0301" w:rsidRPr="006B46C7" w:rsidRDefault="000B5403" w:rsidP="000B5403">
            <w:pPr>
              <w:pStyle w:val="a9"/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DRR</w:t>
            </w:r>
          </w:p>
        </w:tc>
        <w:tc>
          <w:tcPr>
            <w:tcW w:w="8552" w:type="dxa"/>
            <w:shd w:val="clear" w:color="auto" w:fill="FFFFFF"/>
            <w:vAlign w:val="center"/>
          </w:tcPr>
          <w:p w14:paraId="75B9DCC7" w14:textId="339D6839" w:rsidR="001B0301" w:rsidRPr="006B46C7" w:rsidRDefault="0020166A" w:rsidP="000B5403">
            <w:pPr>
              <w:pStyle w:val="a9"/>
              <w:spacing w:after="0" w:line="360" w:lineRule="exact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Предписанный</w:t>
            </w:r>
            <w:r w:rsidR="004D2C53" w:rsidRPr="006B46C7">
              <w:rPr>
                <w:rFonts w:ascii="Times New Roman" w:hAnsi="Times New Roman" w:cs="Times New Roman"/>
                <w:sz w:val="24"/>
                <w:szCs w:val="24"/>
              </w:rPr>
              <w:t xml:space="preserve"> коэффициент резервирования</w:t>
            </w:r>
            <w:r w:rsidR="000B5403">
              <w:rPr>
                <w:rFonts w:ascii="Times New Roman" w:hAnsi="Times New Roman" w:cs="Times New Roman"/>
                <w:sz w:val="24"/>
                <w:szCs w:val="24"/>
              </w:rPr>
              <w:t xml:space="preserve"> (FDIC)</w:t>
            </w:r>
          </w:p>
        </w:tc>
      </w:tr>
      <w:tr w:rsidR="001B0301" w:rsidRPr="00B6286F" w14:paraId="20F22E8B" w14:textId="77777777" w:rsidTr="000B5403">
        <w:trPr>
          <w:trHeight w:val="510"/>
        </w:trPr>
        <w:tc>
          <w:tcPr>
            <w:tcW w:w="946" w:type="dxa"/>
            <w:shd w:val="clear" w:color="auto" w:fill="FFFFFF"/>
            <w:vAlign w:val="center"/>
          </w:tcPr>
          <w:p w14:paraId="1ECC648B" w14:textId="57E19343" w:rsidR="001B0301" w:rsidRPr="006B46C7" w:rsidRDefault="0008263E" w:rsidP="000B5403">
            <w:pPr>
              <w:pStyle w:val="a9"/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</w:p>
        </w:tc>
        <w:tc>
          <w:tcPr>
            <w:tcW w:w="8552" w:type="dxa"/>
            <w:shd w:val="clear" w:color="auto" w:fill="FFFFFF"/>
            <w:vAlign w:val="center"/>
          </w:tcPr>
          <w:p w14:paraId="2239DD79" w14:textId="5B2F1B9F" w:rsidR="001B0301" w:rsidRPr="00805A6E" w:rsidRDefault="004D2C53" w:rsidP="000B5403">
            <w:pPr>
              <w:pStyle w:val="a9"/>
              <w:spacing w:after="0" w:line="360" w:lineRule="exact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Основные критерии</w:t>
            </w:r>
            <w:r w:rsidR="00805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A6E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ОПСВ</w:t>
            </w:r>
            <w:r w:rsidR="00805A6E">
              <w:rPr>
                <w:rFonts w:ascii="Times New Roman" w:hAnsi="Times New Roman" w:cs="Times New Roman"/>
                <w:sz w:val="24"/>
                <w:szCs w:val="24"/>
              </w:rPr>
              <w:t xml:space="preserve"> IADI</w:t>
            </w:r>
          </w:p>
        </w:tc>
      </w:tr>
      <w:tr w:rsidR="001B0301" w:rsidRPr="00B6286F" w14:paraId="3142E75D" w14:textId="77777777" w:rsidTr="000B5403">
        <w:trPr>
          <w:trHeight w:val="510"/>
        </w:trPr>
        <w:tc>
          <w:tcPr>
            <w:tcW w:w="946" w:type="dxa"/>
            <w:shd w:val="clear" w:color="auto" w:fill="FFFFFF"/>
            <w:vAlign w:val="center"/>
          </w:tcPr>
          <w:p w14:paraId="05F05E32" w14:textId="37470118" w:rsidR="001B0301" w:rsidRPr="006B46C7" w:rsidRDefault="00805A6E" w:rsidP="000B5403">
            <w:pPr>
              <w:pStyle w:val="a9"/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ERM</w:t>
            </w:r>
          </w:p>
        </w:tc>
        <w:tc>
          <w:tcPr>
            <w:tcW w:w="8552" w:type="dxa"/>
            <w:shd w:val="clear" w:color="auto" w:fill="FFFFFF"/>
            <w:vAlign w:val="center"/>
          </w:tcPr>
          <w:p w14:paraId="715A5384" w14:textId="77777777" w:rsidR="001B0301" w:rsidRPr="006B46C7" w:rsidRDefault="004D2C53" w:rsidP="000B5403">
            <w:pPr>
              <w:pStyle w:val="a9"/>
              <w:spacing w:after="0" w:line="360" w:lineRule="exact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Управление рисками предприятия</w:t>
            </w:r>
          </w:p>
        </w:tc>
      </w:tr>
      <w:tr w:rsidR="001B0301" w:rsidRPr="006B46C7" w14:paraId="2C90FC56" w14:textId="77777777" w:rsidTr="000B5403">
        <w:trPr>
          <w:trHeight w:val="510"/>
        </w:trPr>
        <w:tc>
          <w:tcPr>
            <w:tcW w:w="946" w:type="dxa"/>
            <w:shd w:val="clear" w:color="auto" w:fill="FFFFFF"/>
            <w:vAlign w:val="center"/>
          </w:tcPr>
          <w:p w14:paraId="6EB2B0BA" w14:textId="415D7C43" w:rsidR="001B0301" w:rsidRPr="006B46C7" w:rsidRDefault="00805A6E" w:rsidP="000B5403">
            <w:pPr>
              <w:pStyle w:val="a9"/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FDIC</w:t>
            </w:r>
          </w:p>
        </w:tc>
        <w:tc>
          <w:tcPr>
            <w:tcW w:w="8552" w:type="dxa"/>
            <w:shd w:val="clear" w:color="auto" w:fill="FFFFFF"/>
            <w:vAlign w:val="center"/>
          </w:tcPr>
          <w:p w14:paraId="5832B685" w14:textId="0F406ED7" w:rsidR="001B0301" w:rsidRPr="006B46C7" w:rsidRDefault="004D2C53" w:rsidP="000B5403">
            <w:pPr>
              <w:pStyle w:val="a9"/>
              <w:spacing w:after="0" w:line="360" w:lineRule="exact"/>
              <w:ind w:left="4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Федеральная корпорация </w:t>
            </w:r>
            <w:r w:rsidR="0020166A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страховани</w:t>
            </w:r>
            <w:r w:rsidR="0020166A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C22FE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вкладов </w:t>
            </w:r>
            <w:r w:rsidR="00787F3E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США</w:t>
            </w:r>
          </w:p>
        </w:tc>
      </w:tr>
      <w:tr w:rsidR="001B0301" w:rsidRPr="00B6286F" w14:paraId="4C05B666" w14:textId="77777777" w:rsidTr="000B5403">
        <w:trPr>
          <w:trHeight w:val="510"/>
        </w:trPr>
        <w:tc>
          <w:tcPr>
            <w:tcW w:w="946" w:type="dxa"/>
            <w:shd w:val="clear" w:color="auto" w:fill="FFFFFF"/>
            <w:vAlign w:val="center"/>
          </w:tcPr>
          <w:p w14:paraId="512D37EC" w14:textId="37C366D6" w:rsidR="001B0301" w:rsidRPr="006B46C7" w:rsidRDefault="00805A6E" w:rsidP="000B5403">
            <w:pPr>
              <w:pStyle w:val="a9"/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FSI</w:t>
            </w:r>
          </w:p>
        </w:tc>
        <w:tc>
          <w:tcPr>
            <w:tcW w:w="8552" w:type="dxa"/>
            <w:shd w:val="clear" w:color="auto" w:fill="FFFFFF"/>
            <w:vAlign w:val="center"/>
          </w:tcPr>
          <w:p w14:paraId="4EC739EA" w14:textId="45A16110" w:rsidR="001B0301" w:rsidRPr="006B46C7" w:rsidRDefault="004D2C53" w:rsidP="000B5403">
            <w:pPr>
              <w:pStyle w:val="a9"/>
              <w:spacing w:after="0" w:line="360" w:lineRule="exact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финансовой </w:t>
            </w:r>
            <w:r w:rsidR="0020166A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стабильности</w:t>
            </w:r>
          </w:p>
        </w:tc>
      </w:tr>
      <w:tr w:rsidR="001B0301" w:rsidRPr="00B6286F" w14:paraId="03C02FE0" w14:textId="77777777" w:rsidTr="000B5403">
        <w:trPr>
          <w:trHeight w:val="510"/>
        </w:trPr>
        <w:tc>
          <w:tcPr>
            <w:tcW w:w="946" w:type="dxa"/>
            <w:shd w:val="clear" w:color="auto" w:fill="FFFFFF"/>
            <w:vAlign w:val="center"/>
          </w:tcPr>
          <w:p w14:paraId="12335294" w14:textId="40AA53BE" w:rsidR="001B0301" w:rsidRPr="006B46C7" w:rsidRDefault="002C22FE" w:rsidP="000B5403">
            <w:pPr>
              <w:pStyle w:val="a9"/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СПФС</w:t>
            </w:r>
          </w:p>
        </w:tc>
        <w:tc>
          <w:tcPr>
            <w:tcW w:w="8552" w:type="dxa"/>
            <w:shd w:val="clear" w:color="auto" w:fill="FFFFFF"/>
            <w:vAlign w:val="center"/>
          </w:tcPr>
          <w:p w14:paraId="55F3C457" w14:textId="77777777" w:rsidR="001B0301" w:rsidRPr="006B46C7" w:rsidRDefault="004D2C53" w:rsidP="000B5403">
            <w:pPr>
              <w:pStyle w:val="a9"/>
              <w:spacing w:after="0" w:line="360" w:lineRule="exact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Система поддержания финансовой стабильности</w:t>
            </w:r>
          </w:p>
        </w:tc>
      </w:tr>
      <w:tr w:rsidR="001B0301" w:rsidRPr="00B6286F" w14:paraId="5962E301" w14:textId="77777777" w:rsidTr="000B5403">
        <w:trPr>
          <w:trHeight w:val="510"/>
        </w:trPr>
        <w:tc>
          <w:tcPr>
            <w:tcW w:w="946" w:type="dxa"/>
            <w:shd w:val="clear" w:color="auto" w:fill="FFFFFF"/>
            <w:vAlign w:val="center"/>
          </w:tcPr>
          <w:p w14:paraId="7EF957EC" w14:textId="46D248EC" w:rsidR="001B0301" w:rsidRPr="006B46C7" w:rsidRDefault="00805A6E" w:rsidP="000B5403">
            <w:pPr>
              <w:pStyle w:val="a9"/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IADI</w:t>
            </w:r>
          </w:p>
        </w:tc>
        <w:tc>
          <w:tcPr>
            <w:tcW w:w="8552" w:type="dxa"/>
            <w:shd w:val="clear" w:color="auto" w:fill="FFFFFF"/>
            <w:vAlign w:val="center"/>
          </w:tcPr>
          <w:p w14:paraId="3EAEF7BD" w14:textId="51D2CCCD" w:rsidR="001B0301" w:rsidRPr="006B46C7" w:rsidRDefault="004D2C53" w:rsidP="004C130A">
            <w:pPr>
              <w:pStyle w:val="a9"/>
              <w:spacing w:after="0" w:line="360" w:lineRule="exact"/>
              <w:ind w:left="4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Международная ассоциация страховщиков </w:t>
            </w:r>
            <w:r w:rsidR="004C1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депозитов</w:t>
            </w:r>
          </w:p>
        </w:tc>
      </w:tr>
      <w:tr w:rsidR="001B0301" w:rsidRPr="006B46C7" w14:paraId="6294F4EF" w14:textId="77777777" w:rsidTr="000B5403">
        <w:trPr>
          <w:trHeight w:val="510"/>
        </w:trPr>
        <w:tc>
          <w:tcPr>
            <w:tcW w:w="946" w:type="dxa"/>
            <w:shd w:val="clear" w:color="auto" w:fill="FFFFFF"/>
            <w:vAlign w:val="center"/>
          </w:tcPr>
          <w:p w14:paraId="41AB72EE" w14:textId="6BC505A7" w:rsidR="001B0301" w:rsidRPr="006B46C7" w:rsidRDefault="00805A6E" w:rsidP="000B5403">
            <w:pPr>
              <w:pStyle w:val="a9"/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IPAB</w:t>
            </w:r>
          </w:p>
        </w:tc>
        <w:tc>
          <w:tcPr>
            <w:tcW w:w="8552" w:type="dxa"/>
            <w:shd w:val="clear" w:color="auto" w:fill="FFFFFF"/>
            <w:vAlign w:val="center"/>
          </w:tcPr>
          <w:p w14:paraId="6964FEEF" w14:textId="15021324" w:rsidR="001B0301" w:rsidRPr="006B46C7" w:rsidRDefault="004D2C53" w:rsidP="00E72712">
            <w:pPr>
              <w:pStyle w:val="a9"/>
              <w:spacing w:after="0" w:line="360" w:lineRule="exact"/>
              <w:ind w:left="4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Институт защиты банковских </w:t>
            </w:r>
            <w:r w:rsidR="00E72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сбережений</w:t>
            </w: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(Мексика)</w:t>
            </w:r>
          </w:p>
        </w:tc>
      </w:tr>
      <w:tr w:rsidR="001B0301" w:rsidRPr="006B46C7" w14:paraId="2F369A7B" w14:textId="77777777" w:rsidTr="000B5403">
        <w:trPr>
          <w:trHeight w:val="510"/>
        </w:trPr>
        <w:tc>
          <w:tcPr>
            <w:tcW w:w="946" w:type="dxa"/>
            <w:shd w:val="clear" w:color="auto" w:fill="FFFFFF"/>
            <w:vAlign w:val="center"/>
          </w:tcPr>
          <w:p w14:paraId="07855410" w14:textId="710CAE96" w:rsidR="001B0301" w:rsidRPr="006B46C7" w:rsidRDefault="00E72712" w:rsidP="000B5403">
            <w:pPr>
              <w:pStyle w:val="a9"/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NDIC</w:t>
            </w:r>
          </w:p>
        </w:tc>
        <w:tc>
          <w:tcPr>
            <w:tcW w:w="8552" w:type="dxa"/>
            <w:shd w:val="clear" w:color="auto" w:fill="FFFFFF"/>
            <w:vAlign w:val="center"/>
          </w:tcPr>
          <w:p w14:paraId="20F6981F" w14:textId="03B38A14" w:rsidR="001B0301" w:rsidRPr="006B46C7" w:rsidRDefault="004D2C53" w:rsidP="000B5403">
            <w:pPr>
              <w:pStyle w:val="a9"/>
              <w:spacing w:after="0" w:line="360" w:lineRule="exact"/>
              <w:ind w:left="4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Нигерийская корпорация </w:t>
            </w:r>
            <w:r w:rsidR="0020166A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страховани</w:t>
            </w:r>
            <w:r w:rsidR="0020166A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вкладов</w:t>
            </w:r>
          </w:p>
        </w:tc>
      </w:tr>
      <w:tr w:rsidR="001B0301" w:rsidRPr="006B46C7" w14:paraId="37D971A7" w14:textId="77777777" w:rsidTr="000B5403">
        <w:trPr>
          <w:trHeight w:val="510"/>
        </w:trPr>
        <w:tc>
          <w:tcPr>
            <w:tcW w:w="946" w:type="dxa"/>
            <w:shd w:val="clear" w:color="auto" w:fill="FFFFFF"/>
            <w:vAlign w:val="center"/>
          </w:tcPr>
          <w:p w14:paraId="5CD12385" w14:textId="188BA733" w:rsidR="001B0301" w:rsidRPr="00E72712" w:rsidRDefault="00E72712" w:rsidP="000B5403">
            <w:pPr>
              <w:pStyle w:val="a9"/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PIDM</w:t>
            </w:r>
          </w:p>
        </w:tc>
        <w:tc>
          <w:tcPr>
            <w:tcW w:w="8552" w:type="dxa"/>
            <w:shd w:val="clear" w:color="auto" w:fill="FFFFFF"/>
            <w:vAlign w:val="center"/>
          </w:tcPr>
          <w:p w14:paraId="5E4C800E" w14:textId="7B725026" w:rsidR="001B0301" w:rsidRPr="006B46C7" w:rsidRDefault="0020166A" w:rsidP="000B5403">
            <w:pPr>
              <w:pStyle w:val="a9"/>
              <w:spacing w:after="0" w:line="360" w:lineRule="exact"/>
              <w:ind w:left="4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Малазийская корпорация по страхованию </w:t>
            </w:r>
            <w:r w:rsidR="002C22FE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вкладов</w:t>
            </w:r>
          </w:p>
        </w:tc>
      </w:tr>
      <w:tr w:rsidR="001B0301" w:rsidRPr="006B46C7" w14:paraId="6C7B4EC8" w14:textId="77777777" w:rsidTr="000B5403">
        <w:trPr>
          <w:trHeight w:val="510"/>
        </w:trPr>
        <w:tc>
          <w:tcPr>
            <w:tcW w:w="946" w:type="dxa"/>
            <w:shd w:val="clear" w:color="auto" w:fill="FFFFFF"/>
            <w:vAlign w:val="center"/>
          </w:tcPr>
          <w:p w14:paraId="2BE9E1F8" w14:textId="154C1387" w:rsidR="001B0301" w:rsidRPr="006B46C7" w:rsidRDefault="00E72712" w:rsidP="000B5403">
            <w:pPr>
              <w:pStyle w:val="a9"/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RCNA</w:t>
            </w:r>
          </w:p>
        </w:tc>
        <w:tc>
          <w:tcPr>
            <w:tcW w:w="8552" w:type="dxa"/>
            <w:shd w:val="clear" w:color="auto" w:fill="FFFFFF"/>
            <w:vAlign w:val="center"/>
          </w:tcPr>
          <w:p w14:paraId="468EB9D1" w14:textId="36ABB539" w:rsidR="001B0301" w:rsidRPr="006B46C7" w:rsidRDefault="004D2C53" w:rsidP="000B5403">
            <w:pPr>
              <w:pStyle w:val="a9"/>
              <w:spacing w:after="0" w:line="360" w:lineRule="exact"/>
              <w:ind w:left="4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Региональный комитет Северной Америки</w:t>
            </w:r>
            <w:r w:rsidR="00787F3E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05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IADI</w:t>
            </w:r>
          </w:p>
        </w:tc>
      </w:tr>
      <w:tr w:rsidR="001B0301" w:rsidRPr="006B46C7" w14:paraId="3235CE82" w14:textId="77777777" w:rsidTr="000B5403">
        <w:trPr>
          <w:trHeight w:val="510"/>
        </w:trPr>
        <w:tc>
          <w:tcPr>
            <w:tcW w:w="946" w:type="dxa"/>
            <w:shd w:val="clear" w:color="auto" w:fill="FFFFFF"/>
            <w:vAlign w:val="center"/>
          </w:tcPr>
          <w:p w14:paraId="518A2FEA" w14:textId="55E3D9D9" w:rsidR="001B0301" w:rsidRPr="006B46C7" w:rsidRDefault="00801394" w:rsidP="00801394">
            <w:pPr>
              <w:pStyle w:val="a9"/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3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SPPU</w:t>
            </w:r>
          </w:p>
        </w:tc>
        <w:tc>
          <w:tcPr>
            <w:tcW w:w="8552" w:type="dxa"/>
            <w:shd w:val="clear" w:color="auto" w:fill="FFFFFF"/>
            <w:vAlign w:val="center"/>
          </w:tcPr>
          <w:p w14:paraId="3D5CF528" w14:textId="213B36A9" w:rsidR="001B0301" w:rsidRPr="00E72712" w:rsidRDefault="004D2C53" w:rsidP="000B5403">
            <w:pPr>
              <w:pStyle w:val="a9"/>
              <w:spacing w:after="0" w:line="360" w:lineRule="exact"/>
              <w:ind w:left="4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 стратегического планирования и процессов</w:t>
            </w:r>
            <w:r w:rsidR="00E72712" w:rsidRPr="00E72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E72712">
              <w:rPr>
                <w:rFonts w:ascii="Times New Roman" w:hAnsi="Times New Roman" w:cs="Times New Roman"/>
                <w:sz w:val="24"/>
                <w:szCs w:val="24"/>
              </w:rPr>
              <w:t>IPAB</w:t>
            </w:r>
            <w:r w:rsidR="00E72712" w:rsidRPr="00E72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</w:tbl>
    <w:p w14:paraId="554015EF" w14:textId="77777777" w:rsidR="001B0301" w:rsidRPr="006B46C7" w:rsidRDefault="001B0301">
      <w:pPr>
        <w:rPr>
          <w:rFonts w:ascii="Times New Roman" w:hAnsi="Times New Roman" w:cs="Times New Roman"/>
          <w:lang w:val="ru-RU"/>
        </w:rPr>
        <w:sectPr w:rsidR="001B0301" w:rsidRPr="006B46C7">
          <w:headerReference w:type="default" r:id="rId10"/>
          <w:footerReference w:type="default" r:id="rId11"/>
          <w:type w:val="continuous"/>
          <w:pgSz w:w="12240" w:h="15840"/>
          <w:pgMar w:top="913" w:right="1563" w:bottom="2182" w:left="1558" w:header="0" w:footer="3" w:gutter="0"/>
          <w:cols w:space="720"/>
          <w:noEndnote/>
          <w:docGrid w:linePitch="360"/>
        </w:sectPr>
      </w:pPr>
    </w:p>
    <w:p w14:paraId="16966152" w14:textId="7CA0DAF7" w:rsidR="001B0301" w:rsidRPr="00186471" w:rsidRDefault="005C0675" w:rsidP="00186471">
      <w:pPr>
        <w:pStyle w:val="1"/>
        <w:rPr>
          <w:rFonts w:ascii="Times New Roman" w:hAnsi="Times New Roman" w:cs="Times New Roman"/>
          <w:sz w:val="28"/>
          <w:lang w:val="ru-RU"/>
        </w:rPr>
      </w:pPr>
      <w:bookmarkStart w:id="0" w:name="_Toc206774049"/>
      <w:r w:rsidRPr="00186471">
        <w:rPr>
          <w:rFonts w:ascii="Times New Roman" w:hAnsi="Times New Roman" w:cs="Times New Roman"/>
          <w:sz w:val="28"/>
          <w:lang w:val="ru-RU"/>
        </w:rPr>
        <w:t>Краткое содержание</w:t>
      </w:r>
      <w:bookmarkEnd w:id="0"/>
    </w:p>
    <w:p w14:paraId="2220450E" w14:textId="20819087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После глобального финансового кризиса 2007-2008 годов 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проверки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планов готовности к кризисам и управлени</w:t>
      </w:r>
      <w:r w:rsidR="005C0675" w:rsidRPr="006B46C7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ими стало важным инструментом для органов финансового сектора, </w:t>
      </w:r>
      <w:r w:rsidR="0012381E" w:rsidRPr="006B46C7">
        <w:rPr>
          <w:rFonts w:ascii="Times New Roman" w:hAnsi="Times New Roman" w:cs="Times New Roman"/>
          <w:sz w:val="24"/>
          <w:szCs w:val="24"/>
          <w:lang w:val="ru-RU"/>
        </w:rPr>
        <w:t>способствующим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эффективно</w:t>
      </w:r>
      <w:r w:rsidR="0012381E" w:rsidRPr="006B46C7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реагирова</w:t>
      </w:r>
      <w:r w:rsidR="0012381E" w:rsidRPr="006B46C7">
        <w:rPr>
          <w:rFonts w:ascii="Times New Roman" w:hAnsi="Times New Roman" w:cs="Times New Roman"/>
          <w:sz w:val="24"/>
          <w:szCs w:val="24"/>
          <w:lang w:val="ru-RU"/>
        </w:rPr>
        <w:t>нию на случаи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банкротства банков и другие события, которые могут негативно повлиять на финансовую стабильность. </w:t>
      </w:r>
      <w:r w:rsidR="0012381E" w:rsidRPr="006B46C7">
        <w:rPr>
          <w:rFonts w:ascii="Times New Roman" w:hAnsi="Times New Roman" w:cs="Times New Roman"/>
          <w:sz w:val="24"/>
          <w:szCs w:val="24"/>
          <w:lang w:val="ru-RU"/>
        </w:rPr>
        <w:t>Выводы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2381E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сформированные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12381E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случаев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6616" w:rsidRPr="006B46C7">
        <w:rPr>
          <w:rFonts w:ascii="Times New Roman" w:hAnsi="Times New Roman" w:cs="Times New Roman"/>
          <w:sz w:val="24"/>
          <w:szCs w:val="24"/>
          <w:lang w:val="ru-RU"/>
        </w:rPr>
        <w:t>банкро</w:t>
      </w:r>
      <w:r w:rsidR="0012381E" w:rsidRPr="006B46C7">
        <w:rPr>
          <w:rFonts w:ascii="Times New Roman" w:hAnsi="Times New Roman" w:cs="Times New Roman"/>
          <w:sz w:val="24"/>
          <w:szCs w:val="24"/>
          <w:lang w:val="ru-RU"/>
        </w:rPr>
        <w:t>тс</w:t>
      </w:r>
      <w:r w:rsidR="00B16616" w:rsidRPr="006B46C7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а банков в 2023 году, подтверждают необходимость того, чтобы страховщики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независимо от </w:t>
      </w:r>
      <w:r w:rsidR="0012381E" w:rsidRPr="006B46C7">
        <w:rPr>
          <w:rFonts w:ascii="Times New Roman" w:hAnsi="Times New Roman" w:cs="Times New Roman"/>
          <w:sz w:val="24"/>
          <w:szCs w:val="24"/>
          <w:lang w:val="ru-RU"/>
        </w:rPr>
        <w:t>полномочий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проверяли свои операционные </w:t>
      </w:r>
      <w:hyperlink w:anchor="bookmark0" w:tooltip="Current Document">
        <w:r w:rsidRPr="006B46C7">
          <w:rPr>
            <w:rFonts w:ascii="Times New Roman" w:hAnsi="Times New Roman" w:cs="Times New Roman"/>
            <w:sz w:val="24"/>
            <w:szCs w:val="24"/>
            <w:lang w:val="ru-RU"/>
          </w:rPr>
          <w:t>возможности</w:t>
        </w:r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1"/>
        </w:r>
      </w:hyperlink>
      <w:r w:rsidRPr="006B46C7">
        <w:rPr>
          <w:rFonts w:ascii="Times New Roman" w:hAnsi="Times New Roman" w:cs="Times New Roman"/>
          <w:sz w:val="24"/>
          <w:szCs w:val="24"/>
          <w:lang w:val="ru-RU"/>
        </w:rPr>
        <w:t>, моделировали принятие эффективных решений и укрепляли сотрудничество и координацию со своими партнерами по системе поддержания финансовой стабильности (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СПФС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). Пандемия </w:t>
      </w:r>
      <w:r w:rsidRPr="006B46C7">
        <w:rPr>
          <w:rFonts w:ascii="Times New Roman" w:hAnsi="Times New Roman" w:cs="Times New Roman"/>
          <w:sz w:val="24"/>
          <w:szCs w:val="24"/>
        </w:rPr>
        <w:t>COVID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-19 также подчеркнула важность </w:t>
      </w:r>
      <w:r w:rsidR="00457A45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проверки организационной устойчивости к критическим событиям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для страховщиков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Однако, несмотря на все более широкое внедрение и реализацию тестирования страховщиками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регулирующими органами, тематический обзор Основополагающих принципов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за 2023 год выявил высокий уровень несоблюдения соответствующего </w:t>
      </w:r>
      <w:r w:rsidR="00BE5358" w:rsidRPr="006B46C7">
        <w:rPr>
          <w:rFonts w:ascii="Times New Roman" w:hAnsi="Times New Roman" w:cs="Times New Roman"/>
          <w:sz w:val="24"/>
          <w:szCs w:val="24"/>
          <w:lang w:val="ru-RU"/>
        </w:rPr>
        <w:t>Основополагающего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принципа. В отчете сделан вывод о том, что дополнительное информирование, обмен опытом, исследования и техническая поддержка в области тестирования</w:t>
      </w:r>
      <w:r w:rsidR="00D64B2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готовности к кризисам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необходимы для поддержки усилий страховщиков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по повышению уровня соответствия</w:t>
      </w:r>
      <w:r w:rsidR="00BE5358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принципам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B0601C0" w14:textId="2BA562FB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Рабочая группа по исследованию планов действий в чрезвычайных ситуациях (Рабочая группа) по поручению </w:t>
      </w:r>
      <w:r w:rsidR="00D64B23" w:rsidRPr="006B46C7">
        <w:rPr>
          <w:rFonts w:ascii="Times New Roman" w:hAnsi="Times New Roman" w:cs="Times New Roman"/>
          <w:sz w:val="24"/>
          <w:szCs w:val="24"/>
          <w:lang w:val="ru-RU"/>
        </w:rPr>
        <w:t>ранее существовавшего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7F3E" w:rsidRPr="006B46C7">
        <w:rPr>
          <w:rFonts w:ascii="Times New Roman" w:hAnsi="Times New Roman" w:cs="Times New Roman"/>
          <w:sz w:val="24"/>
          <w:szCs w:val="24"/>
          <w:lang w:val="ru-RU"/>
        </w:rPr>
        <w:t>Комитета по Основополагающим принципам Исследовательского совета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CPRC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hyperlink w:anchor="bookmark1" w:tooltip="Current Document"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2"/>
        </w:r>
      </w:hyperlink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провела исследовательский проект с целью изучения </w:t>
      </w:r>
      <w:r w:rsidR="00F40CD1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развития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программ тестирования среди членов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выявления возникающих практик и предоставления информации о том, как </w:t>
      </w:r>
      <w:r w:rsidR="00457A45">
        <w:rPr>
          <w:rFonts w:ascii="Times New Roman" w:hAnsi="Times New Roman" w:cs="Times New Roman"/>
          <w:sz w:val="24"/>
          <w:szCs w:val="24"/>
          <w:lang w:val="ru-RU"/>
        </w:rPr>
        <w:t>такие проверки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использу</w:t>
      </w:r>
      <w:r w:rsidR="00457A45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тся для пов</w:t>
      </w:r>
      <w:r w:rsidR="00457A45">
        <w:rPr>
          <w:rFonts w:ascii="Times New Roman" w:hAnsi="Times New Roman" w:cs="Times New Roman"/>
          <w:sz w:val="24"/>
          <w:szCs w:val="24"/>
          <w:lang w:val="ru-RU"/>
        </w:rPr>
        <w:t>ышения готовности. Кроме того, Р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абочая группа изучила связь между программами тестирования и реальными кризисными событиями. Информация для этого проекта была собрана с помощью обзора литературы, опроса и тематических исследований. Девятнадцать членов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приняли участие в опросе, а каждая из шести юрисдикций, входящих в состав Рабочей группы, предоставила для данного документа тематическое исследование. В этом документе приводятся следующие основные выводы:</w:t>
      </w:r>
    </w:p>
    <w:p w14:paraId="407E1085" w14:textId="13312EB7" w:rsidR="001B0301" w:rsidRPr="006B46C7" w:rsidRDefault="004D2C53">
      <w:pPr>
        <w:pStyle w:val="11"/>
        <w:spacing w:after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Цели и масштабы программ тестирования со временем расширились: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Во многих юрисдикциях </w:t>
      </w:r>
      <w:r w:rsidR="00271B8B" w:rsidRPr="006B46C7">
        <w:rPr>
          <w:rFonts w:ascii="Times New Roman" w:hAnsi="Times New Roman" w:cs="Times New Roman"/>
          <w:sz w:val="24"/>
          <w:szCs w:val="24"/>
          <w:lang w:val="ru-RU"/>
        </w:rPr>
        <w:t>проверочные мероприятия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изначально проводил</w:t>
      </w:r>
      <w:r w:rsidR="00271B8B" w:rsidRPr="006B46C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сь на разовой основе, как правило, с упором на оценку политики и процедур страховщиков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проверку </w:t>
      </w:r>
      <w:r w:rsidR="00F40CD1" w:rsidRPr="006B46C7">
        <w:rPr>
          <w:rFonts w:ascii="Times New Roman" w:hAnsi="Times New Roman" w:cs="Times New Roman"/>
          <w:sz w:val="24"/>
          <w:szCs w:val="24"/>
          <w:lang w:val="ru-RU"/>
        </w:rPr>
        <w:t>управления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0CD1" w:rsidRPr="006B46C7">
        <w:rPr>
          <w:rFonts w:ascii="Times New Roman" w:hAnsi="Times New Roman" w:cs="Times New Roman"/>
          <w:sz w:val="24"/>
          <w:szCs w:val="24"/>
          <w:lang w:val="ru-RU"/>
        </w:rPr>
        <w:t>процессом осуществления выплат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ликвидаци</w:t>
      </w:r>
      <w:r w:rsidR="00F40CD1" w:rsidRPr="006B46C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По мере развития программ тестирования страховщики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стали применять более строгий подход к тестированию, с </w:t>
      </w:r>
      <w:r w:rsidR="00501ADC" w:rsidRPr="006B46C7">
        <w:rPr>
          <w:rFonts w:ascii="Times New Roman" w:hAnsi="Times New Roman" w:cs="Times New Roman"/>
          <w:sz w:val="24"/>
          <w:szCs w:val="24"/>
          <w:lang w:val="ru-RU"/>
        </w:rPr>
        <w:t>периодичностью раз в год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="00501ADC" w:rsidRPr="006B46C7">
        <w:rPr>
          <w:rFonts w:ascii="Times New Roman" w:hAnsi="Times New Roman" w:cs="Times New Roman"/>
          <w:sz w:val="24"/>
          <w:szCs w:val="24"/>
          <w:lang w:val="ru-RU"/>
        </w:rPr>
        <w:t>несколько лет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четкими процессами определения приоритетов тестирования. Во многих случаях сфера </w:t>
      </w:r>
      <w:r w:rsidR="00501ADC" w:rsidRPr="006B46C7">
        <w:rPr>
          <w:rFonts w:ascii="Times New Roman" w:hAnsi="Times New Roman" w:cs="Times New Roman"/>
          <w:sz w:val="24"/>
          <w:szCs w:val="24"/>
          <w:lang w:val="ru-RU"/>
        </w:rPr>
        <w:t>проверки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также расширилась и стала охватывать готовность к урегулированию несостоятельности, а также такие темы, как кибербезопасность и риск </w:t>
      </w:r>
      <w:r w:rsidR="00501ADC" w:rsidRPr="006B46C7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EC690A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воздействия</w:t>
      </w:r>
      <w:r w:rsidR="00501ADC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третьих лиц. В последние годы к тестированию, проводимому </w:t>
      </w:r>
      <w:r w:rsidR="00501ADC" w:rsidRPr="006B46C7">
        <w:rPr>
          <w:rFonts w:ascii="Times New Roman" w:hAnsi="Times New Roman" w:cs="Times New Roman"/>
          <w:sz w:val="24"/>
          <w:szCs w:val="24"/>
          <w:lang w:val="ru-RU"/>
        </w:rPr>
        <w:t>среди членов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все чаще привлекаются другие члены сети </w:t>
      </w:r>
      <w:r w:rsidR="00501ADC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финансовой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безопасности, </w:t>
      </w:r>
      <w:r w:rsidR="00EC690A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органы власти иностранных </w:t>
      </w:r>
      <w:r w:rsidR="00457A45" w:rsidRPr="006B46C7">
        <w:rPr>
          <w:rFonts w:ascii="Times New Roman" w:hAnsi="Times New Roman" w:cs="Times New Roman"/>
          <w:sz w:val="24"/>
          <w:szCs w:val="24"/>
          <w:lang w:val="ru-RU"/>
        </w:rPr>
        <w:t>государств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другие внешние заинтересованные стороны, что отражает важность более широкого взаимодействия и предварительной</w:t>
      </w:r>
      <w:r w:rsidRPr="006B46C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координации, особенно при управлении системным риском.</w:t>
      </w:r>
    </w:p>
    <w:p w14:paraId="3F4C9C21" w14:textId="4146CFCB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Связь тестирования с реальными кризисными событиями: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Юрисдикции, </w:t>
      </w:r>
      <w:r w:rsidR="00501ADC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которых в </w:t>
      </w:r>
      <w:r w:rsidR="0043588D" w:rsidRPr="006B46C7">
        <w:rPr>
          <w:rFonts w:ascii="Times New Roman" w:hAnsi="Times New Roman" w:cs="Times New Roman"/>
          <w:sz w:val="24"/>
          <w:szCs w:val="24"/>
          <w:lang w:val="ru-RU"/>
        </w:rPr>
        <w:t>последнее</w:t>
      </w:r>
      <w:r w:rsidR="00501ADC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время отмечались страховые случаи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3588D" w:rsidRPr="006B46C7">
        <w:rPr>
          <w:rFonts w:ascii="Times New Roman" w:hAnsi="Times New Roman" w:cs="Times New Roman"/>
          <w:sz w:val="24"/>
          <w:szCs w:val="24"/>
          <w:lang w:val="ru-RU"/>
        </w:rPr>
        <w:t>заметили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что их антикризисное реагирование </w:t>
      </w:r>
      <w:r w:rsidR="00EC690A" w:rsidRPr="006B46C7">
        <w:rPr>
          <w:rFonts w:ascii="Times New Roman" w:hAnsi="Times New Roman" w:cs="Times New Roman"/>
          <w:sz w:val="24"/>
          <w:szCs w:val="24"/>
          <w:lang w:val="ru-RU"/>
        </w:rPr>
        <w:t>было более успешным благодаря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690A" w:rsidRPr="006B46C7">
        <w:rPr>
          <w:rFonts w:ascii="Times New Roman" w:hAnsi="Times New Roman" w:cs="Times New Roman"/>
          <w:sz w:val="24"/>
          <w:szCs w:val="24"/>
          <w:lang w:val="ru-RU"/>
        </w:rPr>
        <w:t>проверке готовности механизмов реагирования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Несмотря на отсутствие объективных критериев оценки успешности программы тестирования, респонденты считают, что тестирование сыграло важную роль в принятии решений во время </w:t>
      </w:r>
      <w:r w:rsidR="0043588D" w:rsidRPr="006B46C7">
        <w:rPr>
          <w:rFonts w:ascii="Times New Roman" w:hAnsi="Times New Roman" w:cs="Times New Roman"/>
          <w:sz w:val="24"/>
          <w:szCs w:val="24"/>
          <w:lang w:val="ru-RU"/>
        </w:rPr>
        <w:t>наступления страхового случая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(раздел 4.2.1). В то же время </w:t>
      </w:r>
      <w:r w:rsidR="003957FB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ввиду </w:t>
      </w:r>
      <w:r w:rsidR="00067E5D" w:rsidRPr="006B46C7">
        <w:rPr>
          <w:rFonts w:ascii="Times New Roman" w:hAnsi="Times New Roman" w:cs="Times New Roman"/>
          <w:sz w:val="24"/>
          <w:szCs w:val="24"/>
          <w:lang w:val="ru-RU"/>
        </w:rPr>
        <w:t>банкротств</w:t>
      </w:r>
      <w:r w:rsidR="003957FB" w:rsidRPr="006B46C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067E5D" w:rsidRPr="006B46C7">
        <w:rPr>
          <w:rFonts w:ascii="Times New Roman" w:hAnsi="Times New Roman" w:cs="Times New Roman"/>
          <w:sz w:val="24"/>
          <w:szCs w:val="24"/>
          <w:lang w:val="ru-RU"/>
        </w:rPr>
        <w:t>кризисно</w:t>
      </w:r>
      <w:r w:rsidR="003957FB" w:rsidRPr="006B46C7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067E5D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состояни</w:t>
      </w:r>
      <w:r w:rsidR="003957FB" w:rsidRPr="006B46C7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067E5D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банков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57FB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возникла необходимость в </w:t>
      </w:r>
      <w:r w:rsidR="00067E5D" w:rsidRPr="006B46C7">
        <w:rPr>
          <w:rFonts w:ascii="Times New Roman" w:hAnsi="Times New Roman" w:cs="Times New Roman"/>
          <w:sz w:val="24"/>
          <w:szCs w:val="24"/>
          <w:lang w:val="ru-RU"/>
        </w:rPr>
        <w:t>разработк</w:t>
      </w:r>
      <w:r w:rsidR="003957FB" w:rsidRPr="006B46C7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новых сценариев</w:t>
      </w:r>
      <w:r w:rsidR="003957FB" w:rsidRPr="006B46C7">
        <w:rPr>
          <w:rFonts w:ascii="Times New Roman" w:hAnsi="Times New Roman" w:cs="Times New Roman"/>
          <w:sz w:val="24"/>
          <w:szCs w:val="24"/>
          <w:lang w:val="ru-RU"/>
        </w:rPr>
        <w:t>, а также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57FB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определени</w:t>
      </w:r>
      <w:r w:rsidR="003957FB" w:rsidRPr="006B46C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приоритетности будущих тем</w:t>
      </w:r>
      <w:r w:rsidR="003957FB" w:rsidRPr="006B46C7">
        <w:rPr>
          <w:rFonts w:ascii="Times New Roman" w:hAnsi="Times New Roman" w:cs="Times New Roman"/>
          <w:sz w:val="24"/>
          <w:szCs w:val="24"/>
          <w:lang w:val="ru-RU"/>
        </w:rPr>
        <w:t>атик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тестирования. Из реального опыта, полученного в ходе тематических исследований, можно сделать вывод о необходимости более широкого вовлечения в процесс проведения учений как внутри, так и между организациями. Регулярные учения с соответствующими внешними заинтересованными сторонами также могут укрепить деловые отношения и обеспечить открытый диалог с другими органами власти.</w:t>
      </w:r>
    </w:p>
    <w:p w14:paraId="790E6158" w14:textId="4FBA6385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Проблемы остаются</w:t>
      </w:r>
      <w:r w:rsidR="003C5531"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актуальными</w:t>
      </w: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Для респондентов, не имеющих программ </w:t>
      </w:r>
      <w:r w:rsidR="00067E5D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проведения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тестирования, отсутствие финансовых и человеческих ресурсов является основной причиной</w:t>
      </w:r>
      <w:r w:rsidR="003C5531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04E8" w:rsidRPr="006B46C7">
        <w:rPr>
          <w:rFonts w:ascii="Times New Roman" w:hAnsi="Times New Roman" w:cs="Times New Roman"/>
          <w:sz w:val="24"/>
          <w:szCs w:val="24"/>
          <w:lang w:val="ru-RU"/>
        </w:rPr>
        <w:t>отсутствия</w:t>
      </w:r>
      <w:r w:rsidR="00457A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7E5D" w:rsidRPr="006B46C7">
        <w:rPr>
          <w:rFonts w:ascii="Times New Roman" w:hAnsi="Times New Roman" w:cs="Times New Roman"/>
          <w:sz w:val="24"/>
          <w:szCs w:val="24"/>
          <w:lang w:val="ru-RU"/>
        </w:rPr>
        <w:t>проведения проверок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Для других ключевой проблемой остается </w:t>
      </w:r>
      <w:r w:rsidR="00F61C2B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нехватка </w:t>
      </w:r>
      <w:r w:rsidR="00067E5D" w:rsidRPr="006B46C7">
        <w:rPr>
          <w:rFonts w:ascii="Times New Roman" w:hAnsi="Times New Roman" w:cs="Times New Roman"/>
          <w:sz w:val="24"/>
          <w:szCs w:val="24"/>
          <w:lang w:val="ru-RU"/>
        </w:rPr>
        <w:t>времени и ресурсов</w:t>
      </w:r>
      <w:r w:rsidR="00330E2F" w:rsidRPr="006B46C7">
        <w:rPr>
          <w:rFonts w:ascii="Times New Roman" w:hAnsi="Times New Roman" w:cs="Times New Roman"/>
          <w:sz w:val="24"/>
          <w:szCs w:val="24"/>
          <w:lang w:val="ru-RU"/>
        </w:rPr>
        <w:t>, необходимых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0E2F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для решения </w:t>
      </w:r>
      <w:r w:rsidR="00457A45">
        <w:rPr>
          <w:rFonts w:ascii="Times New Roman" w:hAnsi="Times New Roman" w:cs="Times New Roman"/>
          <w:sz w:val="24"/>
          <w:szCs w:val="24"/>
          <w:lang w:val="ru-RU"/>
        </w:rPr>
        <w:t>иных</w:t>
      </w:r>
      <w:r w:rsidR="00330E2F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вопросов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30E2F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7A45">
        <w:rPr>
          <w:rFonts w:ascii="Times New Roman" w:hAnsi="Times New Roman" w:cs="Times New Roman"/>
          <w:sz w:val="24"/>
          <w:szCs w:val="24"/>
          <w:lang w:val="ru-RU"/>
        </w:rPr>
        <w:t>а также ограничения</w:t>
      </w:r>
      <w:r w:rsidR="00330E2F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времени у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лиц, принимающих решения, и </w:t>
      </w:r>
      <w:r w:rsidR="00330E2F" w:rsidRPr="006B46C7">
        <w:rPr>
          <w:rFonts w:ascii="Times New Roman" w:hAnsi="Times New Roman" w:cs="Times New Roman"/>
          <w:sz w:val="24"/>
          <w:szCs w:val="24"/>
          <w:lang w:val="ru-RU"/>
        </w:rPr>
        <w:t>ключевых сотрудников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7B9787C" w14:textId="3C88C227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1B0301" w:rsidRPr="006B46C7">
          <w:pgSz w:w="12240" w:h="15840"/>
          <w:pgMar w:top="876" w:right="1557" w:bottom="781" w:left="1538" w:header="0" w:footer="3" w:gutter="0"/>
          <w:cols w:space="720"/>
          <w:noEndnote/>
          <w:docGrid w:linePitch="360"/>
          <w15:footnoteColumns w:val="1"/>
        </w:sect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Опрос и тематические исследования подчеркивают, что, </w:t>
      </w:r>
      <w:r w:rsidR="00251404" w:rsidRPr="006B46C7">
        <w:rPr>
          <w:rFonts w:ascii="Times New Roman" w:hAnsi="Times New Roman" w:cs="Times New Roman"/>
          <w:sz w:val="24"/>
          <w:szCs w:val="24"/>
          <w:lang w:val="ru-RU"/>
        </w:rPr>
        <w:t>несмотря на то, что тестирование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может быть эффективным средством подготовки страховщиков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к решению реальных проблем, некоторые из них невозможно предвидеть. 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Проверки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не предназначены для </w:t>
      </w:r>
      <w:r w:rsidR="00251404" w:rsidRPr="006B46C7">
        <w:rPr>
          <w:rFonts w:ascii="Times New Roman" w:hAnsi="Times New Roman" w:cs="Times New Roman"/>
          <w:sz w:val="24"/>
          <w:szCs w:val="24"/>
          <w:lang w:val="ru-RU"/>
        </w:rPr>
        <w:t>точного предположения причин банкротства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или других серьезных событий, а для создания реалистичных ситуаций, которые побуждают участников реагировать так, как они действовали бы в реальной жизни. Обмен опытом подчеркивает важность оперативности и адаптивности; </w:t>
      </w:r>
      <w:r w:rsidR="00251404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несмотря на то, что возникновение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двух одинаковых кризисов</w:t>
      </w:r>
      <w:r w:rsidR="00251404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маловероятно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, частое</w:t>
      </w:r>
      <w:r w:rsidR="00251404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проведение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1404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тренировочных </w:t>
      </w:r>
      <w:r w:rsidR="005D19B8" w:rsidRPr="006B46C7">
        <w:rPr>
          <w:rFonts w:ascii="Times New Roman" w:hAnsi="Times New Roman" w:cs="Times New Roman"/>
          <w:sz w:val="24"/>
          <w:szCs w:val="24"/>
          <w:lang w:val="ru-RU"/>
        </w:rPr>
        <w:t>мероприятий может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привести к более своевременным и скоординированным действиям при </w:t>
      </w:r>
      <w:r w:rsidR="00251404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наступлении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реальны</w:t>
      </w:r>
      <w:r w:rsidR="00251404" w:rsidRPr="006B46C7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ситуац</w:t>
      </w:r>
      <w:r w:rsidR="00251404" w:rsidRPr="006B46C7">
        <w:rPr>
          <w:rFonts w:ascii="Times New Roman" w:hAnsi="Times New Roman" w:cs="Times New Roman"/>
          <w:sz w:val="24"/>
          <w:szCs w:val="24"/>
          <w:lang w:val="ru-RU"/>
        </w:rPr>
        <w:t>ий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В дальнейшем членам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следует повышать осведомленность об учениях, проводимых в их юрисдикциях, и </w:t>
      </w:r>
      <w:r w:rsidR="00A378C0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рассмотреть наиболее эргономичные способы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обмен</w:t>
      </w:r>
      <w:r w:rsidR="00A378C0" w:rsidRPr="006B46C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сценариями</w:t>
      </w:r>
      <w:r w:rsidR="00A378C0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развития возможных событий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ресурсами и </w:t>
      </w:r>
      <w:proofErr w:type="gramStart"/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соответствующими </w:t>
      </w:r>
      <w:r w:rsidR="00A378C0" w:rsidRPr="006B46C7">
        <w:rPr>
          <w:rFonts w:ascii="Times New Roman" w:hAnsi="Times New Roman" w:cs="Times New Roman"/>
          <w:sz w:val="24"/>
          <w:szCs w:val="24"/>
          <w:lang w:val="ru-RU"/>
        </w:rPr>
        <w:t>выводами</w:t>
      </w:r>
      <w:proofErr w:type="gramEnd"/>
      <w:r w:rsidR="00A378C0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результатами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1500F47" w14:textId="45B72576" w:rsidR="001B0301" w:rsidRPr="00186471" w:rsidRDefault="004D2C53" w:rsidP="00186471">
      <w:pPr>
        <w:pStyle w:val="1"/>
        <w:rPr>
          <w:rFonts w:ascii="Times New Roman" w:hAnsi="Times New Roman" w:cs="Times New Roman"/>
          <w:sz w:val="28"/>
          <w:szCs w:val="24"/>
          <w:lang w:val="ru-RU"/>
        </w:rPr>
      </w:pPr>
      <w:bookmarkStart w:id="4" w:name="bookmark76"/>
      <w:bookmarkStart w:id="5" w:name="bookmark77"/>
      <w:bookmarkStart w:id="6" w:name="bookmark78"/>
      <w:bookmarkStart w:id="7" w:name="bookmark75"/>
      <w:bookmarkStart w:id="8" w:name="_Toc206774050"/>
      <w:r w:rsidRPr="00186471">
        <w:rPr>
          <w:rFonts w:ascii="Times New Roman" w:hAnsi="Times New Roman" w:cs="Times New Roman"/>
          <w:sz w:val="28"/>
          <w:szCs w:val="24"/>
          <w:lang w:val="ru-RU"/>
        </w:rPr>
        <w:t>Ключевые термины</w:t>
      </w:r>
      <w:bookmarkEnd w:id="4"/>
      <w:bookmarkEnd w:id="5"/>
      <w:bookmarkEnd w:id="6"/>
      <w:bookmarkEnd w:id="7"/>
      <w:bookmarkEnd w:id="8"/>
    </w:p>
    <w:p w14:paraId="5766F5A7" w14:textId="742BB6E7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457A45">
        <w:rPr>
          <w:rFonts w:ascii="Times New Roman" w:hAnsi="Times New Roman" w:cs="Times New Roman"/>
          <w:sz w:val="24"/>
          <w:szCs w:val="24"/>
          <w:lang w:val="ru-RU"/>
        </w:rPr>
        <w:t xml:space="preserve">иже приведены ключевые термины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данного документа</w:t>
      </w:r>
      <w:hyperlink w:anchor="bookmark2" w:tooltip="Current Document">
        <w:r w:rsidRPr="006B46C7">
          <w:rPr>
            <w:rFonts w:ascii="Times New Roman" w:hAnsi="Times New Roman" w:cs="Times New Roman"/>
            <w:sz w:val="24"/>
            <w:szCs w:val="24"/>
            <w:lang w:val="ru-RU"/>
          </w:rPr>
          <w:t>:</w:t>
        </w:r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3"/>
        </w:r>
      </w:hyperlink>
    </w:p>
    <w:p w14:paraId="23EADFDC" w14:textId="65BE0513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Банк: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Любая организация, принимающая </w:t>
      </w:r>
      <w:r w:rsidR="00596334" w:rsidRPr="006B46C7">
        <w:rPr>
          <w:rFonts w:ascii="Times New Roman" w:hAnsi="Times New Roman" w:cs="Times New Roman"/>
          <w:sz w:val="24"/>
          <w:szCs w:val="24"/>
          <w:lang w:val="ru-RU"/>
        </w:rPr>
        <w:t>вклады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или возвратные средства от населения и классифицируемая в соответствии с </w:t>
      </w:r>
      <w:r w:rsidR="00596334" w:rsidRPr="006B46C7">
        <w:rPr>
          <w:rFonts w:ascii="Times New Roman" w:hAnsi="Times New Roman" w:cs="Times New Roman"/>
          <w:sz w:val="24"/>
          <w:szCs w:val="24"/>
          <w:lang w:val="ru-RU"/>
        </w:rPr>
        <w:t>законодательством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юрисдикции как принимающее </w:t>
      </w:r>
      <w:r w:rsidR="00596334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депозиты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учреждение (ПДУ), как определено в Глоссарии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49ACCBF" w14:textId="09D060CE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Основополагающие принципы: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Основополагающие принципы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для эффективных </w:t>
      </w:r>
      <w:hyperlink w:anchor="bookmark3" w:tooltip="Current Document">
        <w:r w:rsidRPr="006B46C7">
          <w:rPr>
            <w:rFonts w:ascii="Times New Roman" w:hAnsi="Times New Roman" w:cs="Times New Roman"/>
            <w:sz w:val="24"/>
            <w:szCs w:val="24"/>
            <w:lang w:val="ru-RU"/>
          </w:rPr>
          <w:t>систем</w:t>
        </w:r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4"/>
        </w:r>
      </w:hyperlink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страхования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способствуют внедрению лучших международных стандартов и поддерживают стабильность и устойчивость финансовых систем. Они </w:t>
      </w:r>
      <w:r w:rsidR="00890DC0" w:rsidRPr="006B46C7">
        <w:rPr>
          <w:rFonts w:ascii="Times New Roman" w:hAnsi="Times New Roman" w:cs="Times New Roman"/>
          <w:sz w:val="24"/>
          <w:szCs w:val="24"/>
          <w:lang w:val="ru-RU"/>
        </w:rPr>
        <w:t>могут быть адаптированы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к широкому спектру </w:t>
      </w:r>
      <w:r w:rsidR="00457A45">
        <w:rPr>
          <w:rFonts w:ascii="Times New Roman" w:hAnsi="Times New Roman" w:cs="Times New Roman"/>
          <w:sz w:val="24"/>
          <w:szCs w:val="24"/>
          <w:lang w:val="ru-RU"/>
        </w:rPr>
        <w:t>национальных особенностей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условий и структур. Они были включены в Сборник ключевых стандартов для устойчивых финансовых систем </w:t>
      </w:r>
      <w:r w:rsidR="00254550" w:rsidRPr="006B46C7">
        <w:rPr>
          <w:rFonts w:ascii="Times New Roman" w:hAnsi="Times New Roman" w:cs="Times New Roman"/>
          <w:sz w:val="24"/>
          <w:szCs w:val="24"/>
          <w:lang w:val="ru-RU"/>
        </w:rPr>
        <w:t>Совета по финансовой стабильности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являются основой </w:t>
      </w:r>
      <w:r w:rsidR="00596334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критериев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оце</w:t>
      </w:r>
      <w:r w:rsidR="00596334" w:rsidRPr="006B46C7">
        <w:rPr>
          <w:rFonts w:ascii="Times New Roman" w:hAnsi="Times New Roman" w:cs="Times New Roman"/>
          <w:sz w:val="24"/>
          <w:szCs w:val="24"/>
          <w:lang w:val="ru-RU"/>
        </w:rPr>
        <w:t>нивания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МВФ и Всемирного банка.</w:t>
      </w:r>
    </w:p>
    <w:p w14:paraId="41AD7C5A" w14:textId="7C517B31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Готовность к кризисам и управление ими</w:t>
      </w:r>
      <w:r w:rsidR="00890DC0" w:rsidRPr="006B46C7">
        <w:rPr>
          <w:rFonts w:ascii="Times New Roman" w:hAnsi="Times New Roman" w:cs="Times New Roman"/>
          <w:sz w:val="24"/>
          <w:szCs w:val="24"/>
          <w:lang w:val="ru-RU"/>
        </w:rPr>
        <w:t>: п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одготовка к кризис</w:t>
      </w:r>
      <w:r w:rsidR="000F5D0D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ным </w:t>
      </w:r>
      <w:r w:rsidR="00601C7C" w:rsidRPr="006B46C7">
        <w:rPr>
          <w:rFonts w:ascii="Times New Roman" w:hAnsi="Times New Roman" w:cs="Times New Roman"/>
          <w:sz w:val="24"/>
          <w:szCs w:val="24"/>
          <w:lang w:val="ru-RU"/>
        </w:rPr>
        <w:t>ситуациям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управление ими осуществляется страховщиками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органами по урегулированию несостоятельности и другими участниками системы поддержания финансовой стабильности, как индивидуально, так и совместно, с целью определения политики, процедур и действий, которые могут </w:t>
      </w:r>
      <w:r w:rsidR="000F5D0D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быть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предпринят</w:t>
      </w:r>
      <w:r w:rsidR="000F5D0D" w:rsidRPr="006B46C7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случае неожиданного развития событий и значительных потрясений. Это помогает определить меры по сохранению операционного и финансового положения организации</w:t>
      </w:r>
      <w:hyperlink w:anchor="bookmark4" w:tooltip="Current Document">
        <w:r w:rsidRPr="006B46C7">
          <w:rPr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5"/>
        </w:r>
      </w:hyperlink>
    </w:p>
    <w:p w14:paraId="37884EAE" w14:textId="5CF01157" w:rsidR="001B0301" w:rsidRPr="006B46C7" w:rsidRDefault="00601C7C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Проверка </w:t>
      </w:r>
      <w:r w:rsidR="004D2C53"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готовности к кризисным ситуациям и управления ими: </w:t>
      </w:r>
      <w:r w:rsidR="00890DC0" w:rsidRPr="006B46C7">
        <w:rPr>
          <w:rFonts w:ascii="Times New Roman" w:hAnsi="Times New Roman" w:cs="Times New Roman"/>
          <w:sz w:val="24"/>
          <w:szCs w:val="24"/>
          <w:lang w:val="ru-RU"/>
        </w:rPr>
        <w:t>действия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, проводимые для проверки жизнеспособности планов по обеспечению готовности к кризису и управлению им.</w:t>
      </w:r>
    </w:p>
    <w:p w14:paraId="033F35B7" w14:textId="00D63144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Страховщик </w:t>
      </w:r>
      <w:r w:rsidR="00103344"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="00890DC0" w:rsidRPr="006B46C7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онкретное юридическое лицо, отвечающее за страхование вкладов, гарантии по вкладам или аналогичные механизмы защиты вкладов.</w:t>
      </w:r>
    </w:p>
    <w:p w14:paraId="2AFC726B" w14:textId="07215E5D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Система поддержания финансовой стабильности</w:t>
      </w:r>
      <w:r w:rsidR="00890DC0" w:rsidRPr="006B46C7">
        <w:rPr>
          <w:rFonts w:ascii="Times New Roman" w:hAnsi="Times New Roman" w:cs="Times New Roman"/>
          <w:sz w:val="24"/>
          <w:szCs w:val="24"/>
          <w:lang w:val="ru-RU"/>
        </w:rPr>
        <w:t>: с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истема, включающая в себя функции пруденциального регулирования, надзора, урегулирования несостоятельности, кредитора последней инстанции и страхования вкладов. Во многих юрисдикциях в систему финансовой безопасности включено государственное ведомство (как правило, министерство финансов или казначейство, отвечающее за политику в финансовом секторе).</w:t>
      </w:r>
    </w:p>
    <w:p w14:paraId="31BE2A8C" w14:textId="3A215727" w:rsidR="001B0301" w:rsidRPr="006B46C7" w:rsidRDefault="00CB3E2D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Loss</w:t>
      </w:r>
      <w:r w:rsidRPr="00CB3E2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Minimiser</w:t>
      </w:r>
      <w:r w:rsidR="00890DC0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мандат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страховщик</w:t>
      </w:r>
      <w:r w:rsidR="003060B7" w:rsidRPr="006B46C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="003060B7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по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участ</w:t>
      </w:r>
      <w:r w:rsidR="003060B7" w:rsidRPr="006B46C7">
        <w:rPr>
          <w:rFonts w:ascii="Times New Roman" w:hAnsi="Times New Roman" w:cs="Times New Roman"/>
          <w:sz w:val="24"/>
          <w:szCs w:val="24"/>
          <w:lang w:val="ru-RU"/>
        </w:rPr>
        <w:t>ию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3060B7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процессе принятия 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выбор</w:t>
      </w:r>
      <w:r w:rsidR="003060B7" w:rsidRPr="006B46C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стратеги</w:t>
      </w:r>
      <w:r w:rsidR="003060B7" w:rsidRPr="006B46C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урегулирования несостоятельности с наименьшими затратами.</w:t>
      </w:r>
    </w:p>
    <w:p w14:paraId="677305C3" w14:textId="548CC045" w:rsidR="001B0301" w:rsidRPr="006B46C7" w:rsidRDefault="00CB3E2D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Мандат</w:t>
      </w:r>
      <w:r w:rsidR="004D2C53"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набор официальных инструкций, описывающих роли и обязанности страховщика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. Не существует единого</w:t>
      </w:r>
      <w:r w:rsidR="00E81C7E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свода</w:t>
      </w:r>
      <w:r>
        <w:rPr>
          <w:rFonts w:ascii="Times New Roman" w:hAnsi="Times New Roman" w:cs="Times New Roman"/>
          <w:sz w:val="24"/>
          <w:szCs w:val="24"/>
          <w:lang w:val="ru-RU"/>
        </w:rPr>
        <w:t>, подходящего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для всех страховщиков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При </w:t>
      </w:r>
      <w:r w:rsidR="00E81C7E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передаче полномочий 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страховщику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 учитывать специфику юрисдикции. </w:t>
      </w:r>
      <w:r w:rsidR="00E81C7E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Полномочия 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могут варьироваться </w:t>
      </w:r>
      <w:r w:rsidR="00890DC0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от узких, включающих только страховые выплаты, 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E81C7E" w:rsidRPr="006B46C7">
        <w:rPr>
          <w:rFonts w:ascii="Times New Roman" w:hAnsi="Times New Roman" w:cs="Times New Roman"/>
          <w:sz w:val="24"/>
          <w:szCs w:val="24"/>
          <w:lang w:val="ru-RU"/>
        </w:rPr>
        <w:t>широких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такими как превентивные действия, минимизация убытков или рисков/управление ими, с различными комбинациями между ними. В целом их можно разделить на четыре категории: </w:t>
      </w:r>
      <w:r w:rsidRPr="00CB3E2D">
        <w:rPr>
          <w:rFonts w:ascii="Times New Roman" w:hAnsi="Times New Roman" w:cs="Times New Roman"/>
          <w:sz w:val="24"/>
          <w:szCs w:val="24"/>
          <w:lang w:val="ru-RU"/>
        </w:rPr>
        <w:t xml:space="preserve">Pay-box, Pay-box Plus, Loss Minimiser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B3E2D">
        <w:rPr>
          <w:rFonts w:ascii="Times New Roman" w:hAnsi="Times New Roman" w:cs="Times New Roman"/>
          <w:sz w:val="24"/>
          <w:szCs w:val="24"/>
          <w:lang w:val="ru-RU"/>
        </w:rPr>
        <w:t xml:space="preserve"> Risk Minimiser</w:t>
      </w:r>
      <w:r w:rsidR="004240F4" w:rsidRPr="006B46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2B0FFED" w14:textId="6C37882F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Учреждение-</w:t>
      </w:r>
      <w:r w:rsidR="004628BD"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участник</w:t>
      </w: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="00890DC0" w:rsidRPr="006B46C7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инансовая организация, являющаяся </w:t>
      </w:r>
      <w:r w:rsidR="004628BD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участником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системы страхования вкладов.</w:t>
      </w:r>
    </w:p>
    <w:p w14:paraId="1B570B21" w14:textId="149D563A" w:rsidR="001B0301" w:rsidRPr="006B46C7" w:rsidRDefault="00CB3E2D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3E2D">
        <w:rPr>
          <w:rFonts w:ascii="Times New Roman" w:hAnsi="Times New Roman" w:cs="Times New Roman"/>
          <w:b/>
          <w:bCs/>
          <w:sz w:val="24"/>
          <w:szCs w:val="24"/>
          <w:lang w:val="ru-RU"/>
        </w:rPr>
        <w:t>Pay-box</w:t>
      </w:r>
      <w:r w:rsidR="004D2C53"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мандат</w:t>
      </w:r>
      <w:r w:rsidR="004628BD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страховщик</w:t>
      </w:r>
      <w:r w:rsidR="004628BD" w:rsidRPr="006B46C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="004628BD" w:rsidRPr="006B46C7">
        <w:rPr>
          <w:rFonts w:ascii="Times New Roman" w:hAnsi="Times New Roman" w:cs="Times New Roman"/>
          <w:sz w:val="24"/>
          <w:szCs w:val="24"/>
          <w:lang w:val="ru-RU"/>
        </w:rPr>
        <w:t>, в рамках котор</w:t>
      </w:r>
      <w:r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4628BD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он несет </w:t>
      </w:r>
      <w:r w:rsidR="0025298E" w:rsidRPr="006B46C7">
        <w:rPr>
          <w:rFonts w:ascii="Times New Roman" w:hAnsi="Times New Roman" w:cs="Times New Roman"/>
          <w:sz w:val="24"/>
          <w:szCs w:val="24"/>
          <w:lang w:val="ru-RU"/>
        </w:rPr>
        <w:t>ответственность</w:t>
      </w:r>
      <w:r w:rsidR="004628BD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только за выплату страхового возмещения по застрахованным вкладам.</w:t>
      </w:r>
    </w:p>
    <w:p w14:paraId="7552B745" w14:textId="0B9BED95" w:rsidR="001B0301" w:rsidRPr="006B46C7" w:rsidRDefault="00CB3E2D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3E2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Pay-box Plus </w:t>
      </w:r>
      <w:r>
        <w:rPr>
          <w:rFonts w:ascii="Times New Roman" w:hAnsi="Times New Roman" w:cs="Times New Roman"/>
          <w:sz w:val="24"/>
          <w:szCs w:val="24"/>
          <w:lang w:val="ru-RU"/>
        </w:rPr>
        <w:t>мандат</w:t>
      </w:r>
      <w:r w:rsidR="0025298E" w:rsidRPr="006B46C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рамках кото</w:t>
      </w:r>
      <w:r w:rsidR="00836D98" w:rsidRPr="006B46C7">
        <w:rPr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страховщик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6D98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исполняет 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дополнительные обязанности, такие как функции урегулирования несостоятельности (например, финансовая поддержка).</w:t>
      </w:r>
    </w:p>
    <w:p w14:paraId="014DBA72" w14:textId="56658C0A" w:rsidR="001B0301" w:rsidRPr="006B46C7" w:rsidRDefault="00CB3E2D">
      <w:pPr>
        <w:pStyle w:val="11"/>
        <w:spacing w:line="26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3E2D">
        <w:rPr>
          <w:rFonts w:ascii="Times New Roman" w:hAnsi="Times New Roman" w:cs="Times New Roman"/>
          <w:b/>
          <w:bCs/>
          <w:sz w:val="24"/>
          <w:szCs w:val="24"/>
          <w:lang w:val="ru-RU"/>
        </w:rPr>
        <w:t>Risk Minimiser</w:t>
      </w:r>
      <w:r w:rsidR="004D2C53"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="00C5409B" w:rsidRPr="006B46C7">
        <w:rPr>
          <w:rFonts w:ascii="Times New Roman" w:hAnsi="Times New Roman" w:cs="Times New Roman"/>
          <w:bCs/>
          <w:sz w:val="24"/>
          <w:szCs w:val="24"/>
          <w:lang w:val="ru-RU"/>
        </w:rPr>
        <w:t>полномочия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, в рамках котор</w:t>
      </w:r>
      <w:r w:rsidR="00C5409B" w:rsidRPr="006B46C7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страховщик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выполняет комплексные функции по минимизации рисков, включая оценку/управление рисками, полный набор полномочий по раннему вмешательству и урегулированию несостоятельности, а в некоторых случаях и обязанности по пруденциальному надзору.</w:t>
      </w:r>
    </w:p>
    <w:p w14:paraId="1DF65BF1" w14:textId="0D83BF3A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Кризисное) моделирование</w:t>
      </w:r>
      <w:r w:rsidR="00890DC0" w:rsidRPr="006B46C7">
        <w:rPr>
          <w:rFonts w:ascii="Times New Roman" w:hAnsi="Times New Roman" w:cs="Times New Roman"/>
          <w:sz w:val="24"/>
          <w:szCs w:val="24"/>
          <w:lang w:val="ru-RU"/>
        </w:rPr>
        <w:t>: о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перативные учения, в ходе которых мобилизуется весь необходимый персонал и материально-техническая база (например, системы, базы данных, кризисные комнаты, протоколы связи), которые могут быть задействованы в кризисной ситуации. Часто они проводятся в режиме реального времени, чтобы воспроизвести ограничения и стрессовую обстановку реального кризиса.</w:t>
      </w:r>
    </w:p>
    <w:p w14:paraId="0F31ECB2" w14:textId="5C35BBC6" w:rsidR="001B0301" w:rsidRPr="006B46C7" w:rsidRDefault="00FD03DB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1B0301" w:rsidRPr="006B46C7">
          <w:pgSz w:w="12240" w:h="15840"/>
          <w:pgMar w:top="876" w:right="1552" w:bottom="709" w:left="1559" w:header="0" w:footer="3" w:gutter="0"/>
          <w:cols w:space="720"/>
          <w:noEndnote/>
          <w:docGrid w:linePitch="360"/>
          <w15:footnoteColumns w:val="1"/>
        </w:sectPr>
      </w:pP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Теоретические учения: </w:t>
      </w:r>
      <w:r w:rsidR="006A2A89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устные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упражнения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в ходе которых члены команды обсуждают свои роли, обязанности и возможности принятия решений для реагирования на смоделированный сценарий без </w:t>
      </w:r>
      <w:r w:rsidR="006A2A89" w:rsidRPr="006B46C7">
        <w:rPr>
          <w:rFonts w:ascii="Times New Roman" w:hAnsi="Times New Roman" w:cs="Times New Roman"/>
          <w:sz w:val="24"/>
          <w:szCs w:val="24"/>
          <w:lang w:val="ru-RU"/>
        </w:rPr>
        <w:t>фактического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выполнения </w:t>
      </w:r>
      <w:r w:rsidR="006A2A89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предусмотренных 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действий или подготовки документов.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Теоретические 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учения могут проводиться под руководством </w:t>
      </w:r>
      <w:r w:rsidR="00247021" w:rsidRPr="006B46C7">
        <w:rPr>
          <w:rFonts w:ascii="Times New Roman" w:hAnsi="Times New Roman" w:cs="Times New Roman"/>
          <w:sz w:val="24"/>
          <w:szCs w:val="24"/>
          <w:lang w:val="ru-RU"/>
        </w:rPr>
        <w:t>координатора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который </w:t>
      </w:r>
      <w:r w:rsidR="00247021" w:rsidRPr="006B46C7">
        <w:rPr>
          <w:rFonts w:ascii="Times New Roman" w:hAnsi="Times New Roman" w:cs="Times New Roman"/>
          <w:sz w:val="24"/>
          <w:szCs w:val="24"/>
          <w:lang w:val="ru-RU"/>
        </w:rPr>
        <w:t>направляет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участников через обсуждение одного или нескольких сценарных событий.</w:t>
      </w:r>
    </w:p>
    <w:p w14:paraId="095213DD" w14:textId="0E714F77" w:rsidR="001B0301" w:rsidRDefault="00186471" w:rsidP="00186471">
      <w:pPr>
        <w:pStyle w:val="1"/>
        <w:rPr>
          <w:rFonts w:ascii="Times New Roman" w:hAnsi="Times New Roman" w:cs="Times New Roman"/>
          <w:sz w:val="28"/>
          <w:lang w:val="ru-RU"/>
        </w:rPr>
      </w:pPr>
      <w:bookmarkStart w:id="11" w:name="bookmark82"/>
      <w:bookmarkStart w:id="12" w:name="bookmark80"/>
      <w:bookmarkStart w:id="13" w:name="bookmark81"/>
      <w:bookmarkStart w:id="14" w:name="bookmark83"/>
      <w:bookmarkStart w:id="15" w:name="bookmark79"/>
      <w:bookmarkStart w:id="16" w:name="_Toc206774051"/>
      <w:bookmarkEnd w:id="11"/>
      <w:r w:rsidRPr="00186471">
        <w:rPr>
          <w:rFonts w:ascii="Times New Roman" w:hAnsi="Times New Roman" w:cs="Times New Roman"/>
          <w:sz w:val="28"/>
          <w:lang w:val="ru-RU"/>
        </w:rPr>
        <w:t xml:space="preserve">1. </w:t>
      </w:r>
      <w:r w:rsidR="004D2C53" w:rsidRPr="00186471">
        <w:rPr>
          <w:rFonts w:ascii="Times New Roman" w:hAnsi="Times New Roman" w:cs="Times New Roman"/>
          <w:sz w:val="28"/>
          <w:lang w:val="ru-RU"/>
        </w:rPr>
        <w:t>Введение</w:t>
      </w:r>
      <w:bookmarkEnd w:id="12"/>
      <w:bookmarkEnd w:id="13"/>
      <w:bookmarkEnd w:id="14"/>
      <w:bookmarkEnd w:id="15"/>
      <w:bookmarkEnd w:id="16"/>
    </w:p>
    <w:p w14:paraId="40686DF3" w14:textId="77777777" w:rsidR="00186471" w:rsidRPr="00186471" w:rsidRDefault="00186471" w:rsidP="00186471">
      <w:pPr>
        <w:rPr>
          <w:lang w:val="ru-RU"/>
        </w:rPr>
      </w:pPr>
    </w:p>
    <w:p w14:paraId="2CD0C10B" w14:textId="7F0F41DD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Международная ассоциация страховщиков </w:t>
      </w:r>
      <w:r w:rsidR="004C130A">
        <w:rPr>
          <w:rFonts w:ascii="Times New Roman" w:hAnsi="Times New Roman" w:cs="Times New Roman"/>
          <w:sz w:val="24"/>
          <w:szCs w:val="24"/>
          <w:lang w:val="ru-RU"/>
        </w:rPr>
        <w:t>депозитов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), наряду с другими международными организациями, устанавливающими стандарты, подчеркивает важность укрепления планов готовности к кризисам и управления ими, а также </w:t>
      </w:r>
      <w:r w:rsidR="006A2A89" w:rsidRPr="006B46C7">
        <w:rPr>
          <w:rFonts w:ascii="Times New Roman" w:hAnsi="Times New Roman" w:cs="Times New Roman"/>
          <w:sz w:val="24"/>
          <w:szCs w:val="24"/>
          <w:lang w:val="ru-RU"/>
        </w:rPr>
        <w:t>проведения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регулярного тестирования. Эти мероприятия позволяют страховщикам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выявить и устранить пробелы и недостатки в системе обеспечения готовности к кризисам. </w:t>
      </w:r>
      <w:r w:rsidR="001519C8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Проверка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готовности к кризисам и управлени</w:t>
      </w:r>
      <w:r w:rsidR="006A2A89" w:rsidRPr="006B46C7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ими все чаще применяется страховщиками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связи с изменением финансового ландшафта и </w:t>
      </w:r>
      <w:r w:rsidR="006A2A89" w:rsidRPr="006B46C7">
        <w:rPr>
          <w:rFonts w:ascii="Times New Roman" w:hAnsi="Times New Roman" w:cs="Times New Roman"/>
          <w:sz w:val="24"/>
          <w:szCs w:val="24"/>
          <w:lang w:val="ru-RU"/>
        </w:rPr>
        <w:t>становлением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тестирования в качестве передовой международной практики.</w:t>
      </w:r>
    </w:p>
    <w:p w14:paraId="5F8A8438" w14:textId="35C8FE60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>В 2021 году Региональный комитет Северной Америки (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RCNA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 опубликовал документ </w:t>
      </w:r>
      <w:r w:rsidR="006A2A89" w:rsidRPr="006B46C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Тестирование планов действий в чрезвычайных ситуациях в Северной Америке</w:t>
      </w:r>
      <w:r w:rsidR="006A2A89" w:rsidRPr="006B46C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(далее - документ 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RCNA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)</w:t>
      </w:r>
      <w:hyperlink w:anchor="bookmark5" w:tooltip="Current Document">
        <w:r w:rsidRPr="006B46C7">
          <w:rPr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6"/>
        </w:r>
      </w:hyperlink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Документ </w:t>
      </w:r>
      <w:r w:rsidR="00272860">
        <w:rPr>
          <w:rFonts w:ascii="Times New Roman" w:hAnsi="Times New Roman" w:cs="Times New Roman"/>
          <w:sz w:val="24"/>
          <w:szCs w:val="24"/>
          <w:lang w:val="ru-RU"/>
        </w:rPr>
        <w:t>RCNA</w:t>
      </w:r>
      <w:r w:rsidR="00272860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посвящен развитию </w:t>
      </w:r>
      <w:r w:rsidR="0025298E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механизмов оценки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готовности к кризисным ситуациям и управления ими (формально </w:t>
      </w:r>
      <w:r w:rsidR="006A2A89" w:rsidRPr="006B46C7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тестирование планов действий в чрезвычайных ситуациях) после глобального финансового кризиса и анализирует программы тестирования четырех органов власти в Северной Америке.</w:t>
      </w:r>
    </w:p>
    <w:p w14:paraId="5FFF49E5" w14:textId="7AD3852F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Комитет Совета по Основополагающим принципам </w:t>
      </w:r>
      <w:r w:rsidR="000903F9" w:rsidRPr="006B46C7">
        <w:rPr>
          <w:rFonts w:ascii="Times New Roman" w:hAnsi="Times New Roman" w:cs="Times New Roman"/>
          <w:sz w:val="24"/>
          <w:szCs w:val="24"/>
          <w:lang w:val="ru-RU"/>
        </w:rPr>
        <w:t>Исследовательского совета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CPRC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 определил готовность к кризисам и управление ими в качестве приоритетного направления исследований в своем Ежегодном плане политики и исследований на 2022/23 финансовый год и создал Рабочую группу по исследованию планов действий в чрезвычайных ситуациях для публикации </w:t>
      </w:r>
      <w:r w:rsidR="006A2A89" w:rsidRPr="006B46C7">
        <w:rPr>
          <w:rFonts w:ascii="Times New Roman" w:hAnsi="Times New Roman" w:cs="Times New Roman"/>
          <w:sz w:val="24"/>
          <w:szCs w:val="24"/>
          <w:lang w:val="ru-RU"/>
        </w:rPr>
        <w:t>исследования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на основе документа 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RCNA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выполнения его рекомендаций в отношении будущих исследовательских проектов. В ходе пересмотра Основополагающих принципов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приняла предпочтительный термин </w:t>
      </w:r>
      <w:r w:rsidR="006A2A89" w:rsidRPr="006B46C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готовность к кризису и управление им</w:t>
      </w:r>
      <w:r w:rsidR="006A2A89" w:rsidRPr="006B46C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вместо </w:t>
      </w:r>
      <w:r w:rsidR="006A2A89" w:rsidRPr="006B46C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планирование действий в чрезвычайных ситуациях</w:t>
      </w:r>
      <w:r w:rsidR="006A2A89" w:rsidRPr="006B46C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чтобы лучше отразить более широкую деятельность страховщиков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FC2CDC6" w14:textId="0F074C8B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состав рабочей группы вошли представители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Банковского гарантийного фонда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Польши (</w:t>
      </w:r>
      <w:r w:rsidRPr="006B46C7">
        <w:rPr>
          <w:rFonts w:ascii="Times New Roman" w:hAnsi="Times New Roman" w:cs="Times New Roman"/>
          <w:sz w:val="24"/>
          <w:szCs w:val="24"/>
        </w:rPr>
        <w:t>Bankowy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</w:rPr>
        <w:t>Fundusz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</w:rPr>
        <w:t>Gwarancyjny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) (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BFG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), Канадской корпорации страхования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), которая возглавляла эту работу, </w:t>
      </w:r>
      <w:r w:rsidR="0006114E" w:rsidRPr="006B46C7">
        <w:rPr>
          <w:rFonts w:ascii="Times New Roman" w:hAnsi="Times New Roman" w:cs="Times New Roman"/>
          <w:sz w:val="24"/>
          <w:szCs w:val="24"/>
          <w:lang w:val="ru-RU"/>
        </w:rPr>
        <w:t>Нидерландского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банка (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DNB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), Федеральной корпорации страхования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20D7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США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FDIC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), Нигерийской корпорации страхования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NDIC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 и </w:t>
      </w:r>
      <w:r w:rsidR="004F20D7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Малазийской корпорации по страхованию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272860">
        <w:rPr>
          <w:rFonts w:ascii="Times New Roman" w:hAnsi="Times New Roman" w:cs="Times New Roman"/>
          <w:sz w:val="24"/>
          <w:szCs w:val="24"/>
        </w:rPr>
        <w:t>PIDM</w:t>
      </w:r>
      <w:hyperlink w:anchor="bookmark6" w:tooltip="Current Document">
        <w:r w:rsidR="004F20D7" w:rsidRPr="006B46C7">
          <w:rPr>
            <w:rFonts w:ascii="Times New Roman" w:hAnsi="Times New Roman" w:cs="Times New Roman"/>
            <w:sz w:val="24"/>
            <w:szCs w:val="24"/>
            <w:lang w:val="ru-RU"/>
          </w:rPr>
          <w:t>)</w:t>
        </w:r>
        <w:r w:rsidRPr="006B46C7">
          <w:rPr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7"/>
        </w:r>
      </w:hyperlink>
    </w:p>
    <w:p w14:paraId="4F5D213C" w14:textId="662B18D4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6A2A89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настоящем исследовании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рассматриваются четыре </w:t>
      </w:r>
      <w:r w:rsidR="00272860">
        <w:rPr>
          <w:rFonts w:ascii="Times New Roman" w:hAnsi="Times New Roman" w:cs="Times New Roman"/>
          <w:sz w:val="24"/>
          <w:szCs w:val="24"/>
          <w:lang w:val="ru-RU"/>
        </w:rPr>
        <w:t>вопроса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72860">
        <w:rPr>
          <w:rFonts w:ascii="Times New Roman" w:hAnsi="Times New Roman" w:cs="Times New Roman"/>
          <w:sz w:val="24"/>
          <w:szCs w:val="24"/>
          <w:lang w:val="ru-RU"/>
        </w:rPr>
        <w:t>обозаченные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CPRC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Во-первых, </w:t>
      </w:r>
      <w:r w:rsidR="006A2A89" w:rsidRPr="006B46C7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посвящен</w:t>
      </w:r>
      <w:r w:rsidR="006A2A89" w:rsidRPr="006B46C7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разработке программ </w:t>
      </w:r>
      <w:r w:rsidR="006A2A89" w:rsidRPr="006B46C7">
        <w:rPr>
          <w:rFonts w:ascii="Times New Roman" w:hAnsi="Times New Roman" w:cs="Times New Roman"/>
          <w:sz w:val="24"/>
          <w:szCs w:val="24"/>
          <w:lang w:val="ru-RU"/>
        </w:rPr>
        <w:t>проверки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содержит рекомендации для юрисдикций, которые еще не </w:t>
      </w:r>
      <w:r w:rsidR="00BF2AB4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сформировали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программу тестирования или находятся на ранних стадиях ее разработки. </w:t>
      </w:r>
      <w:r w:rsidR="00271B8B" w:rsidRPr="006B46C7">
        <w:rPr>
          <w:rFonts w:ascii="Times New Roman" w:hAnsi="Times New Roman" w:cs="Times New Roman"/>
          <w:sz w:val="24"/>
          <w:szCs w:val="24"/>
          <w:lang w:val="ru-RU"/>
        </w:rPr>
        <w:t>Проверочные мероприятия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повыша</w:t>
      </w:r>
      <w:r w:rsidR="00D724E0" w:rsidRPr="006B46C7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т готовность страховщика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независимо от его </w:t>
      </w:r>
      <w:r w:rsidR="00D724E0" w:rsidRPr="006B46C7">
        <w:rPr>
          <w:rFonts w:ascii="Times New Roman" w:hAnsi="Times New Roman" w:cs="Times New Roman"/>
          <w:sz w:val="24"/>
          <w:szCs w:val="24"/>
          <w:lang w:val="ru-RU"/>
        </w:rPr>
        <w:t>полномочий или организационного опыта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Во-вторых, для страховщиков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="00272860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63D9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опытом реализации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программам </w:t>
      </w:r>
      <w:r w:rsidR="006A2A89" w:rsidRPr="006B46C7">
        <w:rPr>
          <w:rFonts w:ascii="Times New Roman" w:hAnsi="Times New Roman" w:cs="Times New Roman"/>
          <w:sz w:val="24"/>
          <w:szCs w:val="24"/>
          <w:lang w:val="ru-RU"/>
        </w:rPr>
        <w:t>проверки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оценивается способность внедрять инновации и повышать свою готовность. В-третьих, выявляется связь между </w:t>
      </w:r>
      <w:r w:rsidR="00BD63D9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проверочными мероприятиями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и реальными событиями. Наконец, в статье приводится обновленная информация о четырех юрисдикциях 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RCNA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из документа 2021 года.</w:t>
      </w:r>
    </w:p>
    <w:p w14:paraId="42D0E1C0" w14:textId="6118F40B" w:rsidR="001B0301" w:rsidRPr="006B46C7" w:rsidRDefault="00FD3E9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Материал изложен 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следующим образом: Во втором разделе рассматривается методология, а в третьем - обзор литературы. В четвертом разделе анализируются результаты опросов и тематических исследований, а также приводится обновленная информация о четырех юрисдикциях из документа 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RCNA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2021 года. В пятом разделе подводятся итоги.</w:t>
      </w:r>
    </w:p>
    <w:p w14:paraId="67AA6F6D" w14:textId="454ED874" w:rsidR="0002548F" w:rsidRPr="006B46C7" w:rsidRDefault="0002548F">
      <w:pPr>
        <w:rPr>
          <w:rFonts w:ascii="Times New Roman" w:eastAsia="Segoe UI" w:hAnsi="Times New Roman" w:cs="Times New Roman"/>
          <w:lang w:val="ru-RU"/>
        </w:rPr>
      </w:pPr>
      <w:r w:rsidRPr="006B46C7">
        <w:rPr>
          <w:rFonts w:ascii="Times New Roman" w:hAnsi="Times New Roman" w:cs="Times New Roman"/>
          <w:lang w:val="ru-RU"/>
        </w:rPr>
        <w:br w:type="page"/>
      </w:r>
    </w:p>
    <w:p w14:paraId="7CD2C43C" w14:textId="77777777" w:rsidR="0002548F" w:rsidRPr="006B46C7" w:rsidRDefault="0002548F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714C41" w14:textId="5CD24D24" w:rsidR="001B0301" w:rsidRPr="00186471" w:rsidRDefault="00186471" w:rsidP="00186471">
      <w:pPr>
        <w:pStyle w:val="1"/>
        <w:rPr>
          <w:rFonts w:ascii="Times New Roman" w:hAnsi="Times New Roman" w:cs="Times New Roman"/>
          <w:sz w:val="28"/>
          <w:lang w:val="ru-RU"/>
        </w:rPr>
      </w:pPr>
      <w:bookmarkStart w:id="18" w:name="bookmark87"/>
      <w:bookmarkStart w:id="19" w:name="bookmark85"/>
      <w:bookmarkStart w:id="20" w:name="bookmark86"/>
      <w:bookmarkStart w:id="21" w:name="bookmark88"/>
      <w:bookmarkStart w:id="22" w:name="bookmark84"/>
      <w:bookmarkStart w:id="23" w:name="_Toc206774052"/>
      <w:bookmarkEnd w:id="18"/>
      <w:r w:rsidRPr="00186471">
        <w:rPr>
          <w:rFonts w:ascii="Times New Roman" w:hAnsi="Times New Roman" w:cs="Times New Roman"/>
          <w:sz w:val="28"/>
          <w:lang w:val="ru-RU"/>
        </w:rPr>
        <w:t xml:space="preserve">2. </w:t>
      </w:r>
      <w:r w:rsidR="004D2C53" w:rsidRPr="00186471">
        <w:rPr>
          <w:rFonts w:ascii="Times New Roman" w:hAnsi="Times New Roman" w:cs="Times New Roman"/>
          <w:sz w:val="28"/>
          <w:lang w:val="ru-RU"/>
        </w:rPr>
        <w:t>Методология</w:t>
      </w:r>
      <w:bookmarkEnd w:id="19"/>
      <w:bookmarkEnd w:id="20"/>
      <w:bookmarkEnd w:id="21"/>
      <w:bookmarkEnd w:id="22"/>
      <w:bookmarkEnd w:id="23"/>
    </w:p>
    <w:p w14:paraId="2F873AB9" w14:textId="4BB5F286" w:rsidR="001B0301" w:rsidRPr="006B46C7" w:rsidRDefault="004D2C53">
      <w:pPr>
        <w:pStyle w:val="11"/>
        <w:spacing w:after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Рабочая группа придерживается той же методологии, что и в документе 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RCNA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используя для этого три источника: обзор литературы по исследованиям, опубликованным с 2021 года, комплексный опрос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шесть тематических исследований.</w:t>
      </w:r>
    </w:p>
    <w:p w14:paraId="71E48E44" w14:textId="2F713B26" w:rsidR="001B0301" w:rsidRPr="006B46C7" w:rsidRDefault="004D2C53">
      <w:pPr>
        <w:pStyle w:val="11"/>
        <w:spacing w:after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Обзор литературы основывается на </w:t>
      </w:r>
      <w:r w:rsidR="006A2A89" w:rsidRPr="006B46C7">
        <w:rPr>
          <w:rFonts w:ascii="Times New Roman" w:hAnsi="Times New Roman" w:cs="Times New Roman"/>
          <w:sz w:val="24"/>
          <w:szCs w:val="24"/>
          <w:lang w:val="ru-RU"/>
        </w:rPr>
        <w:t>соответствующем разделе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документа 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RCNA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2021 года, и расширяет сферу охвата</w:t>
      </w:r>
      <w:r w:rsidR="0002548F" w:rsidRPr="006B46C7">
        <w:rPr>
          <w:rFonts w:ascii="Times New Roman" w:hAnsi="Times New Roman" w:cs="Times New Roman"/>
          <w:sz w:val="24"/>
          <w:szCs w:val="24"/>
          <w:lang w:val="ru-RU"/>
        </w:rPr>
        <w:t>, выходящую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за пределы Северной Америки. В нем также рассматриваются недавние </w:t>
      </w:r>
      <w:r w:rsidR="006A2A89" w:rsidRPr="006B46C7">
        <w:rPr>
          <w:rFonts w:ascii="Times New Roman" w:hAnsi="Times New Roman" w:cs="Times New Roman"/>
          <w:sz w:val="24"/>
          <w:szCs w:val="24"/>
          <w:lang w:val="ru-RU"/>
        </w:rPr>
        <w:t>исследования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тематический обзор, опубликованный </w:t>
      </w:r>
      <w:hyperlink w:anchor="bookmark7" w:tooltip="Current Document">
        <w:r w:rsidR="00805A6E">
          <w:rPr>
            <w:rFonts w:ascii="Times New Roman" w:hAnsi="Times New Roman" w:cs="Times New Roman"/>
            <w:sz w:val="24"/>
            <w:szCs w:val="24"/>
            <w:lang w:val="ru-RU"/>
          </w:rPr>
          <w:t>IADI</w:t>
        </w:r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8"/>
        </w:r>
      </w:hyperlink>
      <w:r w:rsidRPr="006B46C7">
        <w:rPr>
          <w:rFonts w:ascii="Times New Roman" w:hAnsi="Times New Roman" w:cs="Times New Roman"/>
          <w:sz w:val="24"/>
          <w:szCs w:val="24"/>
          <w:lang w:val="ru-RU"/>
        </w:rPr>
        <w:t>, и примеры недавно проведенных имитационных учений. Учитывая недостаточное кол</w:t>
      </w:r>
      <w:r w:rsidR="004F20D7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ичество </w:t>
      </w:r>
      <w:r w:rsidR="002E0A04" w:rsidRPr="006B46C7">
        <w:rPr>
          <w:rFonts w:ascii="Times New Roman" w:hAnsi="Times New Roman" w:cs="Times New Roman"/>
          <w:sz w:val="24"/>
          <w:szCs w:val="24"/>
          <w:lang w:val="ru-RU"/>
        </w:rPr>
        <w:t>библиографических источников по тематике несостоятельности</w:t>
      </w:r>
      <w:r w:rsidR="004F20D7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банков</w:t>
      </w:r>
      <w:hyperlink w:anchor="bookmark8" w:tooltip="Current Document"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9"/>
        </w:r>
      </w:hyperlink>
      <w:r w:rsidR="002E0A04" w:rsidRPr="006B46C7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,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марте 2023 года на момент написания статьи</w:t>
      </w:r>
      <w:r w:rsidR="002E0A04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проведение содержательной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оценк</w:t>
      </w:r>
      <w:r w:rsidR="002E0A04" w:rsidRPr="006B46C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невозможн</w:t>
      </w:r>
      <w:r w:rsidR="002E0A04" w:rsidRPr="006B46C7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. Подробн</w:t>
      </w:r>
      <w:r w:rsidR="002E0A04" w:rsidRPr="006B46C7"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обзор </w:t>
      </w:r>
      <w:r w:rsidR="002E0A04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источников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приведен в разделе 3.</w:t>
      </w:r>
    </w:p>
    <w:p w14:paraId="6832B658" w14:textId="0F2B3B6B" w:rsidR="001B0301" w:rsidRPr="006B46C7" w:rsidRDefault="004D2C53">
      <w:pPr>
        <w:pStyle w:val="11"/>
        <w:spacing w:after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на основе документа 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RCNA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2021 года был разработан комплексный опрос с более широким охватом, включающим регионы и юрисдикции с различными </w:t>
      </w:r>
      <w:r w:rsidR="00EF6D81" w:rsidRPr="006B46C7">
        <w:rPr>
          <w:rFonts w:ascii="Times New Roman" w:hAnsi="Times New Roman" w:cs="Times New Roman"/>
          <w:sz w:val="24"/>
          <w:szCs w:val="24"/>
          <w:lang w:val="ru-RU"/>
        </w:rPr>
        <w:t>подходами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инструментами. Опрос состоит из трех частей:</w:t>
      </w:r>
    </w:p>
    <w:p w14:paraId="7C8A40AE" w14:textId="77777777" w:rsidR="001B0301" w:rsidRPr="006B46C7" w:rsidRDefault="004D2C53">
      <w:pPr>
        <w:pStyle w:val="11"/>
        <w:numPr>
          <w:ilvl w:val="0"/>
          <w:numId w:val="5"/>
        </w:numPr>
        <w:tabs>
          <w:tab w:val="left" w:pos="416"/>
        </w:tabs>
        <w:spacing w:after="0" w:line="257" w:lineRule="auto"/>
        <w:ind w:left="440" w:hanging="4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6" w:name="bookmark89"/>
      <w:bookmarkEnd w:id="26"/>
      <w:r w:rsidRPr="006B46C7">
        <w:rPr>
          <w:rFonts w:ascii="Times New Roman" w:hAnsi="Times New Roman" w:cs="Times New Roman"/>
          <w:sz w:val="24"/>
          <w:szCs w:val="24"/>
          <w:lang w:val="ru-RU"/>
        </w:rPr>
        <w:t>В первой части была собрана информация об использовании тестирования готовности к кризису и управления для повышения готовности к урегулированию несостоятельности, включая организационный подход и методологию тестирования.</w:t>
      </w:r>
    </w:p>
    <w:p w14:paraId="5EE056EF" w14:textId="1E813D0F" w:rsidR="001B0301" w:rsidRPr="006B46C7" w:rsidRDefault="004D2C53">
      <w:pPr>
        <w:pStyle w:val="11"/>
        <w:numPr>
          <w:ilvl w:val="0"/>
          <w:numId w:val="5"/>
        </w:numPr>
        <w:tabs>
          <w:tab w:val="left" w:pos="416"/>
        </w:tabs>
        <w:spacing w:after="0" w:line="252" w:lineRule="auto"/>
        <w:ind w:left="440" w:hanging="4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7" w:name="bookmark90"/>
      <w:bookmarkEnd w:id="27"/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Часть </w:t>
      </w:r>
      <w:r w:rsidRPr="006B46C7">
        <w:rPr>
          <w:rFonts w:ascii="Times New Roman" w:hAnsi="Times New Roman" w:cs="Times New Roman"/>
          <w:sz w:val="24"/>
          <w:szCs w:val="24"/>
        </w:rPr>
        <w:t>II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была посвящена связи между реальными кризисными событиями и программами тестирования, а также</w:t>
      </w:r>
      <w:r w:rsidR="0077063E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исследованию их взаимодополняющих свойств</w:t>
      </w:r>
      <w:r w:rsidR="004F20D7" w:rsidRPr="006B46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F73F540" w14:textId="11E15C46" w:rsidR="001B0301" w:rsidRPr="006B46C7" w:rsidRDefault="004D2C53">
      <w:pPr>
        <w:pStyle w:val="11"/>
        <w:numPr>
          <w:ilvl w:val="0"/>
          <w:numId w:val="5"/>
        </w:numPr>
        <w:tabs>
          <w:tab w:val="left" w:pos="416"/>
        </w:tabs>
        <w:spacing w:after="100" w:line="252" w:lineRule="auto"/>
        <w:ind w:left="440" w:hanging="4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8" w:name="bookmark91"/>
      <w:bookmarkEnd w:id="28"/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Часть </w:t>
      </w:r>
      <w:r w:rsidRPr="006B46C7">
        <w:rPr>
          <w:rFonts w:ascii="Times New Roman" w:hAnsi="Times New Roman" w:cs="Times New Roman"/>
          <w:sz w:val="24"/>
          <w:szCs w:val="24"/>
        </w:rPr>
        <w:t>III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отражала изменения и прогресс, достигнутый юрисдикциями 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RCNA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 момента публикации исследовательского документа 2021 года.</w:t>
      </w:r>
    </w:p>
    <w:p w14:paraId="7E947DB3" w14:textId="6DB7F987" w:rsidR="001B0301" w:rsidRPr="006B46C7" w:rsidRDefault="004D2C53">
      <w:pPr>
        <w:pStyle w:val="11"/>
        <w:spacing w:after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Исследовательский отдел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распространил опрос среди более чем сорока членов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июне 2023 года. На опрос ответили 19 членов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причем </w:t>
      </w:r>
      <w:r w:rsidR="00272860">
        <w:rPr>
          <w:rFonts w:ascii="Times New Roman" w:hAnsi="Times New Roman" w:cs="Times New Roman"/>
          <w:sz w:val="24"/>
          <w:szCs w:val="24"/>
          <w:lang w:val="ru-RU"/>
        </w:rPr>
        <w:t>среди них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были представлены </w:t>
      </w:r>
      <w:r w:rsidR="00EF6D81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юрисдикции с </w:t>
      </w:r>
      <w:r w:rsidR="0087109A" w:rsidRPr="006B46C7">
        <w:rPr>
          <w:rFonts w:ascii="Times New Roman" w:hAnsi="Times New Roman" w:cs="Times New Roman"/>
          <w:sz w:val="24"/>
          <w:szCs w:val="24"/>
          <w:lang w:val="ru-RU"/>
        </w:rPr>
        <w:t>различными полномочиями</w:t>
      </w:r>
      <w:r w:rsidR="00EF6D81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из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6D81" w:rsidRPr="006B46C7">
        <w:rPr>
          <w:rFonts w:ascii="Times New Roman" w:hAnsi="Times New Roman" w:cs="Times New Roman"/>
          <w:sz w:val="24"/>
          <w:szCs w:val="24"/>
          <w:lang w:val="ru-RU"/>
        </w:rPr>
        <w:t>различных региональных комитетов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7683910" w14:textId="113991DA" w:rsidR="001B0301" w:rsidRPr="006B46C7" w:rsidRDefault="004D2C53" w:rsidP="006B46C7">
      <w:pPr>
        <w:pStyle w:val="11"/>
        <w:spacing w:after="100"/>
        <w:jc w:val="both"/>
        <w:rPr>
          <w:rFonts w:ascii="Times New Roman" w:hAnsi="Times New Roman" w:cs="Times New Roman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>Наконец, каждый член рабочей группы</w:t>
      </w:r>
      <w:r w:rsidR="0087109A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представил свое тематическое исследование. В </w:t>
      </w:r>
      <w:r w:rsidR="00592936" w:rsidRPr="006B46C7">
        <w:rPr>
          <w:rFonts w:ascii="Times New Roman" w:hAnsi="Times New Roman" w:cs="Times New Roman"/>
          <w:sz w:val="24"/>
          <w:szCs w:val="24"/>
          <w:lang w:val="ru-RU"/>
        </w:rPr>
        <w:t>исследовании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6388">
        <w:rPr>
          <w:rFonts w:ascii="Times New Roman" w:hAnsi="Times New Roman" w:cs="Times New Roman"/>
          <w:sz w:val="24"/>
          <w:szCs w:val="24"/>
        </w:rPr>
        <w:t>PIDM</w:t>
      </w:r>
      <w:r w:rsidR="00E56388" w:rsidRPr="00E563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рассматривается процесс создания комплексной программы тестирования.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FDIC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DNB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NDIC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представляют исследования, иллюстрирующие, как тестирование информирует о реальных событиях и их взаимосвязи.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BFG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592936" w:rsidRPr="006B46C7">
        <w:rPr>
          <w:rFonts w:ascii="Times New Roman" w:hAnsi="Times New Roman" w:cs="Times New Roman"/>
          <w:sz w:val="24"/>
          <w:szCs w:val="24"/>
          <w:lang w:val="ru-RU"/>
        </w:rPr>
        <w:t>своем исследовании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приводит пример из опыта работы с Министерством финансов. Наконец, в примере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описывается опыт проведения операции с использованием механизма 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6B46C7">
        <w:rPr>
          <w:rFonts w:ascii="Times New Roman" w:hAnsi="Times New Roman" w:cs="Times New Roman"/>
          <w:sz w:val="24"/>
          <w:szCs w:val="24"/>
        </w:rPr>
        <w:t>bail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B46C7">
        <w:rPr>
          <w:rFonts w:ascii="Times New Roman" w:hAnsi="Times New Roman" w:cs="Times New Roman"/>
          <w:sz w:val="24"/>
          <w:szCs w:val="24"/>
        </w:rPr>
        <w:t>in</w:t>
      </w:r>
      <w:r w:rsidR="007119F1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в отношении системно значимого банка (</w:t>
      </w:r>
      <w:r w:rsidRPr="006B46C7">
        <w:rPr>
          <w:rFonts w:ascii="Times New Roman" w:hAnsi="Times New Roman" w:cs="Times New Roman"/>
          <w:sz w:val="24"/>
          <w:szCs w:val="24"/>
        </w:rPr>
        <w:t>D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B46C7">
        <w:rPr>
          <w:rFonts w:ascii="Times New Roman" w:hAnsi="Times New Roman" w:cs="Times New Roman"/>
          <w:sz w:val="24"/>
          <w:szCs w:val="24"/>
        </w:rPr>
        <w:t>SIB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="008D40F5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19F1" w:rsidRPr="006B46C7">
        <w:rPr>
          <w:rFonts w:ascii="Times New Roman" w:hAnsi="Times New Roman" w:cs="Times New Roman"/>
          <w:sz w:val="24"/>
          <w:szCs w:val="24"/>
          <w:lang w:val="ru-RU"/>
        </w:rPr>
        <w:t>Суть механизма «</w:t>
      </w:r>
      <w:r w:rsidR="007119F1" w:rsidRPr="006B46C7">
        <w:rPr>
          <w:rFonts w:ascii="Times New Roman" w:hAnsi="Times New Roman" w:cs="Times New Roman"/>
          <w:sz w:val="24"/>
          <w:szCs w:val="24"/>
        </w:rPr>
        <w:t>bail</w:t>
      </w:r>
      <w:r w:rsidR="007119F1" w:rsidRPr="006B46C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119F1" w:rsidRPr="006B46C7">
        <w:rPr>
          <w:rFonts w:ascii="Times New Roman" w:hAnsi="Times New Roman" w:cs="Times New Roman"/>
          <w:sz w:val="24"/>
          <w:szCs w:val="24"/>
        </w:rPr>
        <w:t>in</w:t>
      </w:r>
      <w:r w:rsidR="007119F1" w:rsidRPr="006B46C7">
        <w:rPr>
          <w:rFonts w:ascii="Times New Roman" w:hAnsi="Times New Roman" w:cs="Times New Roman"/>
          <w:sz w:val="24"/>
          <w:szCs w:val="24"/>
          <w:lang w:val="ru-RU"/>
        </w:rPr>
        <w:t>» заключается в конвертации требований кредиторов третьей очереди в субординированные займы или уставный капитал банка для улучшения позиции банка по капиталу,</w:t>
      </w:r>
    </w:p>
    <w:p w14:paraId="19758490" w14:textId="77777777" w:rsidR="001B0301" w:rsidRPr="006B46C7" w:rsidRDefault="001B0301">
      <w:pPr>
        <w:spacing w:line="192" w:lineRule="exact"/>
        <w:rPr>
          <w:rFonts w:ascii="Times New Roman" w:hAnsi="Times New Roman" w:cs="Times New Roman"/>
          <w:lang w:val="ru-RU"/>
        </w:rPr>
      </w:pPr>
    </w:p>
    <w:tbl>
      <w:tblPr>
        <w:tblStyle w:val="af5"/>
        <w:tblW w:w="9923" w:type="dxa"/>
        <w:tblInd w:w="-147" w:type="dxa"/>
        <w:tblLook w:val="04A0" w:firstRow="1" w:lastRow="0" w:firstColumn="1" w:lastColumn="0" w:noHBand="0" w:noVBand="1"/>
      </w:tblPr>
      <w:tblGrid>
        <w:gridCol w:w="5387"/>
        <w:gridCol w:w="4536"/>
      </w:tblGrid>
      <w:tr w:rsidR="00864220" w:rsidRPr="00B6286F" w14:paraId="38653898" w14:textId="77777777" w:rsidTr="00864220">
        <w:tc>
          <w:tcPr>
            <w:tcW w:w="5387" w:type="dxa"/>
          </w:tcPr>
          <w:p w14:paraId="729CAF06" w14:textId="77777777" w:rsidR="00864220" w:rsidRPr="006B46C7" w:rsidRDefault="00864220" w:rsidP="00FD26F9">
            <w:pPr>
              <w:pStyle w:val="1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E2E8B"/>
                <w:sz w:val="24"/>
                <w:szCs w:val="24"/>
                <w:lang w:val="ru-RU"/>
              </w:rPr>
            </w:pPr>
            <w:bookmarkStart w:id="29" w:name="bookmark96"/>
          </w:p>
          <w:p w14:paraId="74FB5B8D" w14:textId="64141CAB" w:rsidR="00FD26F9" w:rsidRPr="006B46C7" w:rsidRDefault="00FD26F9" w:rsidP="00FD26F9">
            <w:pPr>
              <w:pStyle w:val="1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E2E8B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b/>
                <w:bCs/>
                <w:color w:val="1E2E8B"/>
                <w:sz w:val="24"/>
                <w:szCs w:val="24"/>
              </w:rPr>
              <w:t>Рисунок 1 – Региональный комитет респондентов</w:t>
            </w:r>
          </w:p>
          <w:p w14:paraId="60ED1B30" w14:textId="65F14BF1" w:rsidR="00864220" w:rsidRPr="006B46C7" w:rsidRDefault="00864220" w:rsidP="00FD26F9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21B8AFA1" w14:textId="77777777" w:rsidR="00864220" w:rsidRPr="006B46C7" w:rsidRDefault="00864220" w:rsidP="00FD26F9">
            <w:pPr>
              <w:pStyle w:val="1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E2E8B"/>
                <w:sz w:val="24"/>
                <w:szCs w:val="24"/>
              </w:rPr>
            </w:pPr>
          </w:p>
          <w:p w14:paraId="4B5CE059" w14:textId="4B3B05F0" w:rsidR="00FD26F9" w:rsidRPr="006B46C7" w:rsidRDefault="00FD26F9" w:rsidP="00FD26F9">
            <w:pPr>
              <w:pStyle w:val="1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E2E8B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b/>
                <w:bCs/>
                <w:color w:val="1E2E8B"/>
                <w:sz w:val="24"/>
                <w:szCs w:val="24"/>
              </w:rPr>
              <w:t xml:space="preserve">Рисунок 2 – </w:t>
            </w:r>
            <w:r w:rsidR="00864220" w:rsidRPr="006B46C7">
              <w:rPr>
                <w:rFonts w:ascii="Times New Roman" w:hAnsi="Times New Roman" w:cs="Times New Roman"/>
                <w:b/>
                <w:bCs/>
                <w:color w:val="1E2E8B"/>
                <w:sz w:val="24"/>
                <w:szCs w:val="24"/>
                <w:lang w:val="ru-RU"/>
              </w:rPr>
              <w:t>Полномочия</w:t>
            </w:r>
            <w:r w:rsidR="00864220" w:rsidRPr="006B46C7">
              <w:rPr>
                <w:rFonts w:ascii="Times New Roman" w:hAnsi="Times New Roman" w:cs="Times New Roman"/>
                <w:b/>
                <w:bCs/>
                <w:color w:val="1E2E8B"/>
                <w:sz w:val="24"/>
                <w:szCs w:val="24"/>
              </w:rPr>
              <w:t xml:space="preserve"> </w:t>
            </w:r>
            <w:r w:rsidRPr="006B46C7">
              <w:rPr>
                <w:rFonts w:ascii="Times New Roman" w:hAnsi="Times New Roman" w:cs="Times New Roman"/>
                <w:b/>
                <w:bCs/>
                <w:color w:val="1E2E8B"/>
                <w:sz w:val="24"/>
                <w:szCs w:val="24"/>
              </w:rPr>
              <w:t>респондентов</w:t>
            </w:r>
          </w:p>
          <w:p w14:paraId="0338E2E6" w14:textId="6CD891C3" w:rsidR="00864220" w:rsidRPr="006B46C7" w:rsidRDefault="00864220" w:rsidP="00FD26F9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64220" w:rsidRPr="00B6286F" w14:paraId="33A44B65" w14:textId="77777777" w:rsidTr="00864220">
        <w:trPr>
          <w:trHeight w:val="3406"/>
        </w:trPr>
        <w:tc>
          <w:tcPr>
            <w:tcW w:w="5387" w:type="dxa"/>
          </w:tcPr>
          <w:p w14:paraId="1A0355F1" w14:textId="325FB7C2" w:rsidR="00FD26F9" w:rsidRPr="006B46C7" w:rsidRDefault="00FD26F9" w:rsidP="00864220">
            <w:pPr>
              <w:pStyle w:val="22"/>
              <w:spacing w:after="6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38EB0D" w14:textId="7AA1D358" w:rsidR="00864220" w:rsidRPr="006B46C7" w:rsidRDefault="00864220" w:rsidP="00864220">
            <w:pPr>
              <w:pStyle w:val="22"/>
              <w:spacing w:after="6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2D35D2AD" wp14:editId="04E00C7F">
                  <wp:extent cx="3028915" cy="207501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920" cy="208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645F0C77" w14:textId="1D1952B6" w:rsidR="00FD26F9" w:rsidRPr="006B46C7" w:rsidRDefault="00FD26F9" w:rsidP="00EF6D81">
            <w:pPr>
              <w:pStyle w:val="22"/>
              <w:spacing w:after="6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9E1550" w14:textId="19654F2A" w:rsidR="00864220" w:rsidRPr="006B46C7" w:rsidRDefault="00864220" w:rsidP="00EF6D81">
            <w:pPr>
              <w:pStyle w:val="22"/>
              <w:spacing w:after="6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5E9AB16F" wp14:editId="6F95CB7C">
                  <wp:extent cx="2213640" cy="2185328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828" cy="2198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43DA87" w14:textId="7FD17E39" w:rsidR="00786B85" w:rsidRPr="006B46C7" w:rsidRDefault="004D2C53" w:rsidP="00FE4437">
      <w:pPr>
        <w:pStyle w:val="22"/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Источник: Опрос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июне 2023 года</w:t>
      </w:r>
      <w:bookmarkEnd w:id="29"/>
    </w:p>
    <w:p w14:paraId="458BAE10" w14:textId="056EA6B9" w:rsidR="00786B85" w:rsidRPr="006B46C7" w:rsidRDefault="00786B85" w:rsidP="00FE4437">
      <w:pPr>
        <w:pStyle w:val="22"/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0FEA8C7" w14:textId="103687F3" w:rsidR="00786B85" w:rsidRPr="006B46C7" w:rsidRDefault="00786B85" w:rsidP="00FE4437">
      <w:pPr>
        <w:pStyle w:val="22"/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70A3A84" w14:textId="77777777" w:rsidR="00786B85" w:rsidRPr="006B46C7" w:rsidRDefault="00786B85" w:rsidP="00FE4437">
      <w:pPr>
        <w:pStyle w:val="22"/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52D0F28" w14:textId="65B7585F" w:rsidR="00FE4437" w:rsidRPr="006B46C7" w:rsidRDefault="00FE4437" w:rsidP="006B46C7">
      <w:pPr>
        <w:pStyle w:val="22"/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30" w:name="bookmark99"/>
      <w:bookmarkStart w:id="31" w:name="bookmark100"/>
      <w:bookmarkStart w:id="32" w:name="bookmark97"/>
      <w:bookmarkStart w:id="33" w:name="bookmark98"/>
      <w:bookmarkEnd w:id="30"/>
    </w:p>
    <w:p w14:paraId="00B69849" w14:textId="3ACFF8C3" w:rsidR="001B0301" w:rsidRPr="00186471" w:rsidRDefault="00186471" w:rsidP="00186471">
      <w:pPr>
        <w:pStyle w:val="1"/>
        <w:rPr>
          <w:rFonts w:ascii="Times New Roman" w:hAnsi="Times New Roman" w:cs="Times New Roman"/>
          <w:sz w:val="28"/>
        </w:rPr>
      </w:pPr>
      <w:bookmarkStart w:id="34" w:name="_Toc206774053"/>
      <w:r w:rsidRPr="00186471">
        <w:rPr>
          <w:rFonts w:ascii="Times New Roman" w:hAnsi="Times New Roman" w:cs="Times New Roman"/>
          <w:sz w:val="28"/>
          <w:lang w:val="ru-RU"/>
        </w:rPr>
        <w:t xml:space="preserve">3. </w:t>
      </w:r>
      <w:r w:rsidR="002E6FEB" w:rsidRPr="00186471">
        <w:rPr>
          <w:rFonts w:ascii="Times New Roman" w:hAnsi="Times New Roman" w:cs="Times New Roman"/>
          <w:sz w:val="28"/>
          <w:lang w:val="ru-RU"/>
        </w:rPr>
        <w:t>Обзор</w:t>
      </w:r>
      <w:r w:rsidR="00103344" w:rsidRPr="00186471">
        <w:rPr>
          <w:rFonts w:ascii="Times New Roman" w:hAnsi="Times New Roman" w:cs="Times New Roman"/>
          <w:sz w:val="28"/>
          <w:lang w:val="ru-RU"/>
        </w:rPr>
        <w:t xml:space="preserve"> </w:t>
      </w:r>
      <w:bookmarkEnd w:id="31"/>
      <w:bookmarkEnd w:id="32"/>
      <w:bookmarkEnd w:id="33"/>
      <w:r w:rsidR="002E6FEB" w:rsidRPr="00186471">
        <w:rPr>
          <w:rFonts w:ascii="Times New Roman" w:hAnsi="Times New Roman" w:cs="Times New Roman"/>
          <w:sz w:val="28"/>
          <w:lang w:val="ru-RU"/>
        </w:rPr>
        <w:t>литературы</w:t>
      </w:r>
      <w:bookmarkEnd w:id="34"/>
    </w:p>
    <w:p w14:paraId="0E906709" w14:textId="77777777" w:rsidR="00786B85" w:rsidRPr="006B46C7" w:rsidRDefault="00786B85" w:rsidP="00786B85">
      <w:pPr>
        <w:pStyle w:val="11"/>
        <w:pBdr>
          <w:top w:val="single" w:sz="4" w:space="0" w:color="auto"/>
        </w:pBdr>
        <w:spacing w:after="0" w:line="276" w:lineRule="auto"/>
        <w:rPr>
          <w:rFonts w:ascii="Times New Roman" w:hAnsi="Times New Roman" w:cs="Times New Roman"/>
          <w:color w:val="1E2E8B"/>
          <w:sz w:val="24"/>
          <w:szCs w:val="24"/>
        </w:rPr>
      </w:pPr>
    </w:p>
    <w:p w14:paraId="77FCCFB4" w14:textId="11CD5DB3" w:rsidR="001B0301" w:rsidRPr="006B46C7" w:rsidRDefault="004D2C53" w:rsidP="006B46C7">
      <w:pPr>
        <w:pStyle w:val="11"/>
        <w:pBdr>
          <w:top w:val="single" w:sz="4" w:space="0" w:color="auto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46C7">
        <w:rPr>
          <w:rFonts w:ascii="Times New Roman" w:hAnsi="Times New Roman" w:cs="Times New Roman"/>
          <w:color w:val="1E2E8B"/>
          <w:sz w:val="24"/>
          <w:szCs w:val="24"/>
        </w:rPr>
        <w:t>Основные выводы</w:t>
      </w:r>
    </w:p>
    <w:p w14:paraId="38B92C85" w14:textId="42C3B020" w:rsidR="001B0301" w:rsidRPr="006B46C7" w:rsidRDefault="004D2C53" w:rsidP="006B46C7">
      <w:pPr>
        <w:pStyle w:val="11"/>
        <w:numPr>
          <w:ilvl w:val="0"/>
          <w:numId w:val="5"/>
        </w:numPr>
        <w:tabs>
          <w:tab w:val="left" w:pos="284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5" w:name="bookmark101"/>
      <w:bookmarkEnd w:id="35"/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Выводы, сделанные в литературе, соответствуют выводам документа 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RCNA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другим опубликованным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сводным статистическим данным, таким как Ежегодный обзор, Тематический обзор, а также другим внешним документам.</w:t>
      </w:r>
    </w:p>
    <w:p w14:paraId="32EDC08F" w14:textId="0D2626B3" w:rsidR="001B0301" w:rsidRPr="006B46C7" w:rsidRDefault="004D2C53" w:rsidP="006B46C7">
      <w:pPr>
        <w:pStyle w:val="11"/>
        <w:numPr>
          <w:ilvl w:val="0"/>
          <w:numId w:val="5"/>
        </w:numPr>
        <w:tabs>
          <w:tab w:val="left" w:pos="284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6" w:name="bookmark102"/>
      <w:bookmarkEnd w:id="36"/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Страховщики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повышают свою готовность к кризисам и возможности управления ими в рамках усилий по обеспечению готовности к кризисам. Ожидается, что соблюдение </w:t>
      </w:r>
      <w:r w:rsidR="00FD26F9" w:rsidRPr="006B46C7">
        <w:rPr>
          <w:rFonts w:ascii="Times New Roman" w:hAnsi="Times New Roman" w:cs="Times New Roman"/>
          <w:sz w:val="24"/>
          <w:szCs w:val="24"/>
          <w:lang w:val="ru-RU"/>
        </w:rPr>
        <w:t>Основополагающих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принципов </w:t>
      </w:r>
      <w:r w:rsidR="00C3494D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части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антикризисного управления будет расти по мере развития </w:t>
      </w:r>
      <w:r w:rsidR="00C3494D" w:rsidRPr="006B46C7">
        <w:rPr>
          <w:rFonts w:ascii="Times New Roman" w:hAnsi="Times New Roman" w:cs="Times New Roman"/>
          <w:sz w:val="24"/>
          <w:szCs w:val="24"/>
          <w:lang w:val="ru-RU"/>
        </w:rPr>
        <w:t>соответствующих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программ и увеличения их потенциала.</w:t>
      </w:r>
    </w:p>
    <w:p w14:paraId="66010A69" w14:textId="5603CE3C" w:rsidR="001B0301" w:rsidRPr="006B46C7" w:rsidRDefault="004D2C53" w:rsidP="006B46C7">
      <w:pPr>
        <w:pStyle w:val="11"/>
        <w:numPr>
          <w:ilvl w:val="0"/>
          <w:numId w:val="5"/>
        </w:numPr>
        <w:pBdr>
          <w:bottom w:val="single" w:sz="4" w:space="0" w:color="auto"/>
        </w:pBdr>
        <w:tabs>
          <w:tab w:val="left" w:pos="284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7" w:name="bookmark103"/>
      <w:bookmarkEnd w:id="37"/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По мере развития программ тестирования все больше страховщиков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организуют трансграничные </w:t>
      </w:r>
      <w:r w:rsidR="00D354EA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симуляционные </w:t>
      </w:r>
      <w:r w:rsidR="0066064E" w:rsidRPr="006B46C7">
        <w:rPr>
          <w:rFonts w:ascii="Times New Roman" w:hAnsi="Times New Roman" w:cs="Times New Roman"/>
          <w:sz w:val="24"/>
          <w:szCs w:val="24"/>
          <w:lang w:val="ru-RU"/>
        </w:rPr>
        <w:t>учения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при содействии международных организаций.</w:t>
      </w:r>
    </w:p>
    <w:p w14:paraId="50F93D87" w14:textId="427A7592" w:rsidR="001B0301" w:rsidRPr="006B46C7" w:rsidRDefault="004D2C53" w:rsidP="006B46C7">
      <w:pPr>
        <w:pStyle w:val="11"/>
        <w:spacing w:before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обзоре литературы, подготовленном на основе документа 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RCNA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, рассматриваются изменения в области готовности к кризисам и управления ими в юрисдикциях за пределами Североамериканского региона, включая Африку, Азию и Европу. В нем также оценивается прогресс и изменения, произошедшие со времени публикации документа в 2021 году.</w:t>
      </w:r>
    </w:p>
    <w:p w14:paraId="04BA46A7" w14:textId="6D1EF0BA" w:rsidR="001B0301" w:rsidRPr="006B46C7" w:rsidRDefault="00072B2E" w:rsidP="006B46C7">
      <w:pPr>
        <w:pStyle w:val="11"/>
        <w:spacing w:before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>Начало раздела посвящено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определени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ключевых терминов и понятий для обеспечения последовательности, а также с обзора тематического обзора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2023 года по внешним связям и завершается </w:t>
      </w:r>
      <w:r w:rsidR="00E5459E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актуальными 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примерами трансграничных учений.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793529A4" w14:textId="065CE5D6" w:rsidR="001B0301" w:rsidRDefault="00186471" w:rsidP="00186471">
      <w:pPr>
        <w:pStyle w:val="1"/>
        <w:rPr>
          <w:rFonts w:ascii="Times New Roman" w:hAnsi="Times New Roman" w:cs="Times New Roman"/>
          <w:sz w:val="28"/>
          <w:lang w:val="ru-RU"/>
        </w:rPr>
      </w:pPr>
      <w:bookmarkStart w:id="38" w:name="bookmark105"/>
      <w:bookmarkStart w:id="39" w:name="bookmark104"/>
      <w:bookmarkStart w:id="40" w:name="_Toc206774054"/>
      <w:bookmarkEnd w:id="38"/>
      <w:r w:rsidRPr="00186471">
        <w:rPr>
          <w:rFonts w:ascii="Times New Roman" w:hAnsi="Times New Roman" w:cs="Times New Roman"/>
          <w:sz w:val="28"/>
          <w:lang w:val="ru-RU"/>
        </w:rPr>
        <w:t xml:space="preserve">3.1. </w:t>
      </w:r>
      <w:r w:rsidR="004D2C53" w:rsidRPr="00186471">
        <w:rPr>
          <w:rFonts w:ascii="Times New Roman" w:hAnsi="Times New Roman" w:cs="Times New Roman"/>
          <w:sz w:val="28"/>
          <w:lang w:val="ru-RU"/>
        </w:rPr>
        <w:t>Терминология</w:t>
      </w:r>
      <w:bookmarkEnd w:id="39"/>
      <w:bookmarkEnd w:id="40"/>
    </w:p>
    <w:p w14:paraId="0099EC80" w14:textId="77777777" w:rsidR="00DF5CEA" w:rsidRPr="00DF5CEA" w:rsidRDefault="00DF5CEA" w:rsidP="00DF5CEA">
      <w:pPr>
        <w:rPr>
          <w:lang w:val="ru-RU"/>
        </w:rPr>
      </w:pPr>
      <w:bookmarkStart w:id="41" w:name="_GoBack"/>
      <w:bookmarkEnd w:id="41"/>
    </w:p>
    <w:p w14:paraId="078B6288" w14:textId="6E6AEE90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целях согласованности большинство используемых здесь терминов и понятий взяты из документа 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RCNA</w:t>
      </w:r>
      <w:r w:rsidR="002D7AB2">
        <w:rPr>
          <w:rFonts w:ascii="Times New Roman" w:hAnsi="Times New Roman" w:cs="Times New Roman"/>
          <w:sz w:val="24"/>
          <w:szCs w:val="24"/>
          <w:lang w:val="ru-RU"/>
        </w:rPr>
        <w:t xml:space="preserve"> 2021 года </w:t>
      </w:r>
      <w:r w:rsidR="00352577" w:rsidRPr="006B46C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Тестирование планов действий в чрезвычайных ситуациях в Северной Америке</w:t>
      </w:r>
      <w:hyperlink w:anchor="bookmark9" w:tooltip="Current Document">
        <w:r w:rsidR="00352577" w:rsidRPr="006B46C7">
          <w:rPr>
            <w:rFonts w:ascii="Times New Roman" w:hAnsi="Times New Roman" w:cs="Times New Roman"/>
            <w:sz w:val="24"/>
            <w:szCs w:val="24"/>
            <w:lang w:val="ru-RU"/>
          </w:rPr>
          <w:t>»</w:t>
        </w:r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10"/>
        </w:r>
      </w:hyperlink>
      <w:r w:rsidR="002D7AB2">
        <w:rPr>
          <w:rFonts w:ascii="Times New Roman" w:hAnsi="Times New Roman" w:cs="Times New Roman"/>
          <w:sz w:val="24"/>
          <w:szCs w:val="24"/>
          <w:lang w:val="ru-RU"/>
        </w:rPr>
        <w:t xml:space="preserve">. В нем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приводится обзор различных учений (</w:t>
      </w:r>
      <w:r w:rsidR="002D7AB2">
        <w:rPr>
          <w:rFonts w:ascii="Times New Roman" w:hAnsi="Times New Roman" w:cs="Times New Roman"/>
          <w:sz w:val="24"/>
          <w:szCs w:val="24"/>
          <w:lang w:val="ru-RU"/>
        </w:rPr>
        <w:t>теоретических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симуляционных, </w:t>
      </w:r>
      <w:r w:rsidR="00352577" w:rsidRPr="006B46C7">
        <w:rPr>
          <w:rFonts w:ascii="Times New Roman" w:hAnsi="Times New Roman" w:cs="Times New Roman"/>
          <w:sz w:val="24"/>
          <w:szCs w:val="24"/>
          <w:lang w:val="ru-RU"/>
        </w:rPr>
        <w:t>демонстрационных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пожарных), используемых страховщиками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для оценки и повышения уровня готовности к кризисным ситуациям. В нем оцениваются преимущества и ограничения каждого типа учений и то, как они могут формировать комплексную программу тестирования. Хотя в данном документе вместо термина </w:t>
      </w:r>
      <w:r w:rsidR="00352577" w:rsidRPr="006B46C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планирование на случай непредвиденных обстоятельств</w:t>
      </w:r>
      <w:r w:rsidR="00352577" w:rsidRPr="006B46C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используется новая терминология </w:t>
      </w:r>
      <w:r w:rsidR="00352577" w:rsidRPr="006B46C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готовность к кризисным ситуациям и управление ими</w:t>
      </w:r>
      <w:r w:rsidR="00352577" w:rsidRPr="006B46C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сфера применения остается прежней, без каких-либо дополнительных </w:t>
      </w:r>
      <w:r w:rsidR="00301A86" w:rsidRPr="006B46C7">
        <w:rPr>
          <w:rFonts w:ascii="Times New Roman" w:hAnsi="Times New Roman" w:cs="Times New Roman"/>
          <w:sz w:val="24"/>
          <w:szCs w:val="24"/>
          <w:lang w:val="ru-RU"/>
        </w:rPr>
        <w:t>изменений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И документ 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RCNA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2021 года, и Всемирный банк согласны с тем, что функции стресс-тестирования не входят в сферу применения</w:t>
      </w:r>
      <w:hyperlink w:anchor="bookmark10" w:tooltip="Current Document">
        <w:r w:rsidRPr="006B46C7">
          <w:rPr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11"/>
        </w:r>
      </w:hyperlink>
    </w:p>
    <w:p w14:paraId="094FA8E4" w14:textId="460905F5" w:rsidR="001B0301" w:rsidRPr="006B46C7" w:rsidRDefault="00301A86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Несмотря на рекомендации 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Всемирн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банк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организациям ограничить использование термина </w:t>
      </w:r>
      <w:r w:rsidR="00352577" w:rsidRPr="006B46C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тестирование</w:t>
      </w:r>
      <w:proofErr w:type="gramStart"/>
      <w:r w:rsidR="00352577" w:rsidRPr="006B46C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w:anchor="bookmark11" w:tooltip="Current Document">
        <w:r w:rsidR="004D2C53"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12"/>
        </w:r>
      </w:hyperlink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настоящем документе этот термин сохраняется для согласованности с документом </w:t>
      </w:r>
      <w:r w:rsidR="002D7AB2">
        <w:rPr>
          <w:rFonts w:ascii="Times New Roman" w:hAnsi="Times New Roman" w:cs="Times New Roman"/>
          <w:sz w:val="24"/>
          <w:szCs w:val="24"/>
          <w:lang w:val="ru-RU"/>
        </w:rPr>
        <w:t>RCNA</w:t>
      </w:r>
      <w:r w:rsidR="002D7AB2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и для простоты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понимания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Тем не менее, мы согласны с основной идеей Всемирного банка о том, что акцент должен быть сделан на общей программе, и что преимущества заключаются в способности </w:t>
      </w:r>
      <w:r w:rsidR="00352577" w:rsidRPr="006B46C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[повторять], чтобы стать лучше</w:t>
      </w:r>
      <w:r w:rsidR="00352577" w:rsidRPr="006B46C7">
        <w:rPr>
          <w:rFonts w:ascii="Times New Roman" w:hAnsi="Times New Roman" w:cs="Times New Roman"/>
          <w:sz w:val="24"/>
          <w:szCs w:val="24"/>
          <w:lang w:val="ru-RU"/>
        </w:rPr>
        <w:t>»</w:t>
      </w:r>
      <w:hyperlink w:anchor="bookmark12" w:tooltip="Current Document">
        <w:r w:rsidR="004D2C53" w:rsidRPr="006B46C7">
          <w:rPr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4D2C53"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13"/>
        </w:r>
      </w:hyperlink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Основные преимущества достигаются за счет планомерной организационной работы. Они становятся частью комплексной программы обеспечения готовности страховщика вкладов и усиливаются благодаря</w:t>
      </w:r>
      <w:r w:rsidR="009B4B62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проведению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4B62" w:rsidRPr="006B46C7">
        <w:rPr>
          <w:rFonts w:ascii="Times New Roman" w:hAnsi="Times New Roman" w:cs="Times New Roman"/>
          <w:sz w:val="24"/>
          <w:szCs w:val="24"/>
          <w:lang w:val="ru-RU"/>
        </w:rPr>
        <w:t>регулярных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провер</w:t>
      </w:r>
      <w:r w:rsidR="009B4B62" w:rsidRPr="006B46C7">
        <w:rPr>
          <w:rFonts w:ascii="Times New Roman" w:hAnsi="Times New Roman" w:cs="Times New Roman"/>
          <w:sz w:val="24"/>
          <w:szCs w:val="24"/>
          <w:lang w:val="ru-RU"/>
        </w:rPr>
        <w:t>ок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совершенствованию процессов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Соответственно, страховщикам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следует сосредоточиться на более масштабной цели обеспечения готовности и не зацикливаться на отдельных учениях или конкретных индивидуальных результатах. Этап отчётности и обратной связи очень важен, поскольку он сводит к минимуму внимание к отдельным лицам и укрепляет систему</w:t>
      </w:r>
      <w:r w:rsidR="00383D64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управления</w:t>
      </w:r>
      <w:r w:rsidR="00383D64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готовности к кризису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Благодаря соответствующему общеорганизационному подходу концепция </w:t>
      </w:r>
      <w:r w:rsidR="00F76555" w:rsidRPr="006B46C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тестирования</w:t>
      </w:r>
      <w:r w:rsidR="00F76555" w:rsidRPr="006B46C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становится актуальной, ограничивает внимание к индивидуальным показателям и в итоге приносит </w:t>
      </w:r>
      <w:r w:rsidR="00A10BA7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преимущества 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страховщику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00EF01E" w14:textId="1BB828B7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рамках обеспечения готовности к кризису и управления им страховщики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используют различные инструменты, концепции и программы для повышения своего потенциала и возможностей, включая, прежде всего, тестирование готовности к кризису и управления. Тестирование готовности к кризисным ситуациям и управления ими предусмотрено Основополагающими принципами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для эффективных систем страхования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По состоянию на 2024 год существует пять основных критериев (ОК), три из которых непосредственно связаны с готовностью к кризису и планированием управления (ОК 1, 2 и 4). В дополнение к собственным возможностям страховщика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по планированию готовности к кризису и управлению им, Основополагающий принцип также подчеркивает участие и интеграцию с другими партнерами </w:t>
      </w:r>
      <w:r w:rsidR="00F76555" w:rsidRPr="006B46C7">
        <w:rPr>
          <w:rFonts w:ascii="Times New Roman" w:hAnsi="Times New Roman" w:cs="Times New Roman"/>
          <w:sz w:val="24"/>
          <w:szCs w:val="24"/>
          <w:lang w:val="ru-RU"/>
        </w:rPr>
        <w:t>по сети финансовой безопасности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1E9F10" w14:textId="732AF84D" w:rsidR="001B0301" w:rsidRDefault="00186471" w:rsidP="00186471">
      <w:pPr>
        <w:pStyle w:val="1"/>
        <w:rPr>
          <w:rFonts w:ascii="Times New Roman" w:hAnsi="Times New Roman" w:cs="Times New Roman"/>
          <w:sz w:val="28"/>
          <w:lang w:val="ru-RU"/>
        </w:rPr>
      </w:pPr>
      <w:bookmarkStart w:id="44" w:name="bookmark107"/>
      <w:bookmarkStart w:id="45" w:name="bookmark106"/>
      <w:bookmarkStart w:id="46" w:name="_Toc206774055"/>
      <w:bookmarkEnd w:id="44"/>
      <w:r w:rsidRPr="00186471">
        <w:rPr>
          <w:rFonts w:ascii="Times New Roman" w:hAnsi="Times New Roman" w:cs="Times New Roman"/>
          <w:sz w:val="28"/>
          <w:lang w:val="ru-RU"/>
        </w:rPr>
        <w:t xml:space="preserve">3.2. </w:t>
      </w:r>
      <w:r w:rsidR="004D2C53" w:rsidRPr="00186471">
        <w:rPr>
          <w:rFonts w:ascii="Times New Roman" w:hAnsi="Times New Roman" w:cs="Times New Roman"/>
          <w:sz w:val="28"/>
          <w:lang w:val="ru-RU"/>
        </w:rPr>
        <w:t xml:space="preserve">Тематический обзор основополагающих принципов </w:t>
      </w:r>
      <w:r w:rsidR="00805A6E" w:rsidRPr="00186471">
        <w:rPr>
          <w:rFonts w:ascii="Times New Roman" w:hAnsi="Times New Roman" w:cs="Times New Roman"/>
          <w:sz w:val="28"/>
          <w:lang w:val="ru-RU"/>
        </w:rPr>
        <w:t>IADI</w:t>
      </w:r>
      <w:r w:rsidR="004D2C53" w:rsidRPr="00186471">
        <w:rPr>
          <w:rFonts w:ascii="Times New Roman" w:hAnsi="Times New Roman" w:cs="Times New Roman"/>
          <w:sz w:val="28"/>
          <w:lang w:val="ru-RU"/>
        </w:rPr>
        <w:t xml:space="preserve"> (2023 год)</w:t>
      </w:r>
      <w:bookmarkEnd w:id="45"/>
      <w:bookmarkEnd w:id="46"/>
    </w:p>
    <w:p w14:paraId="05253CCB" w14:textId="77777777" w:rsidR="00DF5CEA" w:rsidRPr="00DF5CEA" w:rsidRDefault="00DF5CEA" w:rsidP="00DF5CEA">
      <w:pPr>
        <w:rPr>
          <w:lang w:val="ru-RU"/>
        </w:rPr>
      </w:pPr>
    </w:p>
    <w:p w14:paraId="79C925CA" w14:textId="17228492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Тематический обзор Основополагающих принципов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представляет собой обширный анализ и самооценку соблюдения членами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этих принципов. Во втором тематическом обзоре (Внешние связи</w:t>
      </w:r>
      <w:hyperlink w:anchor="bookmark13" w:tooltip="Current Document">
        <w:r w:rsidRPr="006B46C7">
          <w:rPr>
            <w:rFonts w:ascii="Times New Roman" w:hAnsi="Times New Roman" w:cs="Times New Roman"/>
            <w:sz w:val="24"/>
            <w:szCs w:val="24"/>
            <w:lang w:val="ru-RU"/>
          </w:rPr>
          <w:t>)</w:t>
        </w:r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14"/>
        </w:r>
      </w:hyperlink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анкету заполнили 66 членов из разных регионов, что делает его наиболее полной оценкой готовности к кризисам и тестирования управления в секторе страхования вкладов.</w:t>
      </w:r>
    </w:p>
    <w:p w14:paraId="34BBB5B0" w14:textId="19314E47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Тематический обзор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="00F76555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2023 по </w:t>
      </w:r>
      <w:r w:rsidR="00F76555" w:rsidRPr="006B46C7">
        <w:rPr>
          <w:rFonts w:ascii="Times New Roman" w:hAnsi="Times New Roman" w:cs="Times New Roman"/>
          <w:sz w:val="24"/>
          <w:szCs w:val="24"/>
          <w:lang w:val="ru-RU"/>
        </w:rPr>
        <w:t>Основополагающему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принципу 6 показал, что в междун</w:t>
      </w:r>
      <w:r w:rsidR="00F76555" w:rsidRPr="006B46C7">
        <w:rPr>
          <w:rFonts w:ascii="Times New Roman" w:hAnsi="Times New Roman" w:cs="Times New Roman"/>
          <w:sz w:val="24"/>
          <w:szCs w:val="24"/>
          <w:lang w:val="ru-RU"/>
        </w:rPr>
        <w:t>ародном сообществе тестирование проводится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большинством респондентов. Однако многие юрисдикции, </w:t>
      </w:r>
      <w:r w:rsidR="002D7AB2">
        <w:rPr>
          <w:rFonts w:ascii="Times New Roman" w:hAnsi="Times New Roman" w:cs="Times New Roman"/>
          <w:sz w:val="24"/>
          <w:szCs w:val="24"/>
          <w:lang w:val="ru-RU"/>
        </w:rPr>
        <w:t>согласно предоставленных данным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, не соответствуют или существенно не соот</w:t>
      </w:r>
      <w:r w:rsidR="00F76555" w:rsidRPr="006B46C7">
        <w:rPr>
          <w:rFonts w:ascii="Times New Roman" w:hAnsi="Times New Roman" w:cs="Times New Roman"/>
          <w:sz w:val="24"/>
          <w:szCs w:val="24"/>
          <w:lang w:val="ru-RU"/>
        </w:rPr>
        <w:t>ветствуют, в частности, ОК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035EBCB" w14:textId="71826F15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Большинство респондентов сообщили, что они соответствуют требованиям </w:t>
      </w:r>
      <w:r w:rsidR="00F76555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ОК1 Основополагающего принципа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6</w:t>
      </w:r>
      <w:hyperlink w:anchor="bookmark14" w:tooltip="Current Document"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15"/>
        </w:r>
      </w:hyperlink>
      <w:r w:rsidRPr="006B46C7">
        <w:rPr>
          <w:rFonts w:ascii="Times New Roman" w:hAnsi="Times New Roman" w:cs="Times New Roman"/>
          <w:sz w:val="24"/>
          <w:szCs w:val="24"/>
          <w:lang w:val="ru-RU"/>
        </w:rPr>
        <w:t>, при этом 70 % респондентов имеют собственный план готовности и управления в кризисных ситуациях</w:t>
      </w:r>
      <w:hyperlink w:anchor="bookmark15" w:tooltip="Current Document">
        <w:r w:rsidRPr="006B46C7">
          <w:rPr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16"/>
        </w:r>
      </w:hyperlink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30 % респондентов, не имеющих планов, в основном имеют </w:t>
      </w:r>
      <w:r w:rsidR="004C130A">
        <w:rPr>
          <w:rFonts w:ascii="Times New Roman" w:hAnsi="Times New Roman" w:cs="Times New Roman"/>
          <w:sz w:val="24"/>
          <w:szCs w:val="24"/>
          <w:lang w:val="ru-RU"/>
        </w:rPr>
        <w:t>мандат</w:t>
      </w:r>
      <w:r w:rsidR="000F2297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130A">
        <w:rPr>
          <w:rFonts w:ascii="Times New Roman" w:hAnsi="Times New Roman" w:cs="Times New Roman"/>
          <w:sz w:val="24"/>
          <w:szCs w:val="24"/>
          <w:lang w:val="ru-RU"/>
        </w:rPr>
        <w:t xml:space="preserve">Paybox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4C130A" w:rsidRPr="004C130A">
        <w:rPr>
          <w:rFonts w:ascii="Times New Roman" w:hAnsi="Times New Roman" w:cs="Times New Roman"/>
          <w:sz w:val="24"/>
          <w:szCs w:val="24"/>
          <w:lang w:val="ru-RU"/>
        </w:rPr>
        <w:t>Paybox Plus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Респонденты также испытывают трудности с </w:t>
      </w:r>
      <w:r w:rsidR="00F76555" w:rsidRPr="006B46C7">
        <w:rPr>
          <w:rFonts w:ascii="Times New Roman" w:hAnsi="Times New Roman" w:cs="Times New Roman"/>
          <w:sz w:val="24"/>
          <w:szCs w:val="24"/>
          <w:lang w:val="ru-RU"/>
        </w:rPr>
        <w:t>ОК2 Основополагающего принципа 6</w:t>
      </w:r>
      <w:hyperlink w:anchor="bookmark16" w:tooltip="Current Document"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17"/>
        </w:r>
      </w:hyperlink>
      <w:r w:rsidRPr="006B46C7">
        <w:rPr>
          <w:rFonts w:ascii="Times New Roman" w:hAnsi="Times New Roman" w:cs="Times New Roman"/>
          <w:sz w:val="24"/>
          <w:szCs w:val="24"/>
          <w:lang w:val="ru-RU"/>
        </w:rPr>
        <w:t>, так как более половины респондентов отчётливо видят несоответствие требованиям</w:t>
      </w:r>
      <w:hyperlink w:anchor="bookmark17" w:tooltip="Current Document">
        <w:r w:rsidRPr="006B46C7">
          <w:rPr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18"/>
        </w:r>
      </w:hyperlink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Несоответствие требованиям сохранилось и в </w:t>
      </w:r>
      <w:r w:rsidR="00FF5B0A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ОК4 Основополагающего принципа </w:t>
      </w:r>
      <w:proofErr w:type="gramStart"/>
      <w:r w:rsidRPr="006B46C7">
        <w:rPr>
          <w:rFonts w:ascii="Times New Roman" w:hAnsi="Times New Roman" w:cs="Times New Roman"/>
          <w:sz w:val="24"/>
          <w:szCs w:val="24"/>
          <w:lang w:val="ru-RU"/>
        </w:rPr>
        <w:t>6</w:t>
      </w:r>
      <w:hyperlink w:anchor="bookmark18" w:tooltip="Current Document">
        <w:r w:rsidR="00FF5B0A" w:rsidRPr="006B46C7">
          <w:rPr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19"/>
        </w:r>
      </w:hyperlink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при этом большинство респондентов (35) заявили, что проводят имитационные </w:t>
      </w:r>
      <w:r w:rsidR="004F0294" w:rsidRPr="006B46C7">
        <w:rPr>
          <w:rFonts w:ascii="Times New Roman" w:hAnsi="Times New Roman" w:cs="Times New Roman"/>
          <w:sz w:val="24"/>
          <w:szCs w:val="24"/>
          <w:lang w:val="ru-RU"/>
        </w:rPr>
        <w:t>учения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, связанные с системным кризисом, но только 14 делают это регулярно</w:t>
      </w:r>
      <w:hyperlink w:anchor="bookmark19" w:tooltip="Current Document">
        <w:r w:rsidRPr="006B46C7">
          <w:rPr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20"/>
        </w:r>
      </w:hyperlink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общей сложности 31 респондент заявил, что не проводил симуляционных учений в рамках своей юрисдикции</w:t>
      </w:r>
      <w:hyperlink w:anchor="bookmark20" w:tooltip="Current Document">
        <w:r w:rsidRPr="006B46C7">
          <w:rPr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21"/>
        </w:r>
      </w:hyperlink>
    </w:p>
    <w:p w14:paraId="4FA38FD4" w14:textId="7B4D192C" w:rsidR="001B0301" w:rsidRPr="006B46C7" w:rsidRDefault="004F0294">
      <w:pPr>
        <w:pStyle w:val="11"/>
        <w:spacing w:after="3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5" w:name="bookmark108"/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результаты тематического обзора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указывают на существенный потенциал для совершенствования деятельности. Дальнейшие исследования, разработка рекомендаций и оказание технической поддержки будут способствовать развитию организаций-членов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В разделе 4.1 рассмотрены ключевые аспекты, которые страховщики вкладов учитывают при создании программ тестирования. На примере </w:t>
      </w:r>
      <w:r w:rsidR="00E56388">
        <w:rPr>
          <w:rFonts w:ascii="Times New Roman" w:hAnsi="Times New Roman" w:cs="Times New Roman"/>
          <w:sz w:val="24"/>
          <w:szCs w:val="24"/>
          <w:lang w:val="ru-RU"/>
        </w:rPr>
        <w:t>Отдела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кризисного управления Малайзии (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CMD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) продемонстрировано, как поэтапный подход позволяет расширить функционал и ресурсную базу программы. Такая методика дает возможность страховщикам вкладов формировать комплексные многоуровневые программы тестирования, обеспечивающие высокую надежность и, что особенно ценно, практическую применимость.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End w:id="55"/>
    </w:p>
    <w:p w14:paraId="50D1A3FD" w14:textId="72ABA345" w:rsidR="001B0301" w:rsidRDefault="00186471" w:rsidP="00186471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  <w:bookmarkStart w:id="56" w:name="bookmark109"/>
      <w:bookmarkEnd w:id="56"/>
      <w:r w:rsidRPr="001864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57" w:name="_Toc206774056"/>
      <w:r w:rsidRPr="00186471">
        <w:rPr>
          <w:rFonts w:ascii="Times New Roman" w:hAnsi="Times New Roman" w:cs="Times New Roman"/>
          <w:sz w:val="28"/>
          <w:szCs w:val="28"/>
          <w:lang w:val="ru-RU"/>
        </w:rPr>
        <w:t>3.3. Последние проведенные моделирования</w:t>
      </w:r>
      <w:bookmarkEnd w:id="57"/>
    </w:p>
    <w:p w14:paraId="378F07A6" w14:textId="77777777" w:rsidR="00DF5CEA" w:rsidRPr="00DF5CEA" w:rsidRDefault="00DF5CEA" w:rsidP="00DF5CEA">
      <w:pPr>
        <w:rPr>
          <w:lang w:val="ru-RU"/>
        </w:rPr>
      </w:pPr>
    </w:p>
    <w:p w14:paraId="158CF0F0" w14:textId="2B807015" w:rsidR="001B0301" w:rsidRPr="006B46C7" w:rsidRDefault="004F0294" w:rsidP="006B46C7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Согласно исследованию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2023 года по вопросам выплат страхового возмещения, в юрисдикциях, осуществлявших имитационные учения, отмечается более оперативное и эффективное восстановление доступа вкладчиков к застрахованным</w:t>
      </w:r>
      <w:hyperlink w:anchor="bookmark21" w:tooltip="Current Document">
        <w:r w:rsidRPr="006B46C7">
          <w:rPr>
            <w:rFonts w:ascii="Times New Roman" w:hAnsi="Times New Roman" w:cs="Times New Roman"/>
            <w:sz w:val="24"/>
            <w:szCs w:val="24"/>
            <w:lang w:val="ru-RU"/>
          </w:rPr>
          <w:t xml:space="preserve"> средствам</w:t>
        </w:r>
        <w:r w:rsidR="004D2C53"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22"/>
        </w:r>
      </w:hyperlink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При этом авторы документа подчеркивают, что прямая причинно-следственная связь не подвергалась специальному анализу.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Тем не менее, симуляционные учения являются важным инструментом обеспечения готовности</w:t>
      </w:r>
      <w:hyperlink w:anchor="bookmark22" w:tooltip="Current Document">
        <w:r w:rsidR="004D2C53"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23"/>
        </w:r>
      </w:hyperlink>
      <w:r w:rsidR="00966A34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Механизм отчетности и обратной связи по результатам</w:t>
      </w:r>
      <w:r w:rsidR="00F454F8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учений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способствует выявлению и внедрению корректирующих мер, повышающих уровень готовности страховщиков вкладов. Регулярное тестирование позволяет: заблаговременно выявлят</w:t>
      </w:r>
      <w:r w:rsidR="002D7AB2">
        <w:rPr>
          <w:rFonts w:ascii="Times New Roman" w:hAnsi="Times New Roman" w:cs="Times New Roman"/>
          <w:sz w:val="24"/>
          <w:szCs w:val="24"/>
          <w:lang w:val="ru-RU"/>
        </w:rPr>
        <w:t>ь потенциальные проблемные зоны 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совершенствовать подготовку персонала к страховым случаям.</w:t>
      </w:r>
    </w:p>
    <w:p w14:paraId="5B03DA5D" w14:textId="5AA3BC84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По мере распространения среди страховщиков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совершенствования программ объем учений увеличивается и включает в себя все больше переменных. Одним из наиболее перспективных направлений является более частое проведение трансграничных симуляций в различных географических регионах при технической поддержке международных организаций. На сегодняшний день Институт финансовой стабильности (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FSI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) организовал четыре трансграничных учения в Латинской Америке, Азии и Африке к югу от Сахары</w:t>
      </w:r>
      <w:hyperlink w:anchor="bookmark23" w:tooltip="Current Document">
        <w:r w:rsidRPr="006B46C7">
          <w:rPr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24"/>
        </w:r>
      </w:hyperlink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Первые и самые последние учения прошли в Южной Америке в 2021 и 2024 годах, а вторые </w:t>
      </w:r>
      <w:r w:rsidR="002D7AB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Азии в 2022 году. Третьи и самые масштабные учения прошли в Африке в 2023 году. Всемирный банк также участвовал в разработке семи региональных учений, в том числе трех в Латинской Америке</w:t>
      </w:r>
      <w:hyperlink w:anchor="bookmark24" w:tooltip="Current Document">
        <w:r w:rsidRPr="006B46C7">
          <w:rPr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25"/>
        </w:r>
      </w:hyperlink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Эти примеры подчеркивают ключевую роль, которую играют международные организации в организации трансграничных учений, поскольку они способны найти ключевые контакты и предоставить необходимые ресурсы.</w:t>
      </w:r>
    </w:p>
    <w:p w14:paraId="3DDCFDF3" w14:textId="6D43F9D0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Учения 2021 года с участием властей Южной Америки были организованы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FSI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при поддержке </w:t>
      </w:r>
      <w:r w:rsidR="00966A34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консалтинговой компании </w:t>
      </w:r>
      <w:r w:rsidR="0084290E" w:rsidRPr="006B46C7">
        <w:rPr>
          <w:rFonts w:ascii="Times New Roman" w:hAnsi="Times New Roman" w:cs="Times New Roman"/>
          <w:sz w:val="24"/>
          <w:szCs w:val="24"/>
          <w:lang w:val="ru-RU"/>
        </w:rPr>
        <w:t>«Оливер Уайман» (</w:t>
      </w:r>
      <w:r w:rsidRPr="006B46C7">
        <w:rPr>
          <w:rFonts w:ascii="Times New Roman" w:hAnsi="Times New Roman" w:cs="Times New Roman"/>
          <w:sz w:val="24"/>
          <w:szCs w:val="24"/>
        </w:rPr>
        <w:t>Oliver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</w:rPr>
        <w:t>Wyman</w:t>
      </w:r>
      <w:r w:rsidR="0084290E" w:rsidRPr="006B46C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. Они состояли из трех этапов, охватывающих финансовое оздоровление, варианты урегулирования несостоятельности и реализацию мер по урегулированию</w:t>
      </w:r>
      <w:hyperlink w:anchor="bookmark25" w:tooltip="Current Document">
        <w:r w:rsidRPr="006B46C7">
          <w:rPr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26"/>
        </w:r>
      </w:hyperlink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основу моделирования был положен вымышленный системно значимый банк со штаб-квартирой в Бразилии, </w:t>
      </w:r>
      <w:r w:rsidR="00966A34" w:rsidRPr="006B46C7">
        <w:rPr>
          <w:rFonts w:ascii="Times New Roman" w:hAnsi="Times New Roman" w:cs="Times New Roman"/>
          <w:sz w:val="24"/>
          <w:szCs w:val="24"/>
          <w:lang w:val="ru-RU"/>
        </w:rPr>
        <w:t>который выполнял системно важные операции через свои филиалы в нескольких других странах,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6A34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распределив среди них свои </w:t>
      </w:r>
      <w:r w:rsidR="00C155A7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ключевые (системно-значимые) </w:t>
      </w:r>
      <w:r w:rsidR="00966A34" w:rsidRPr="006B46C7">
        <w:rPr>
          <w:rFonts w:ascii="Times New Roman" w:hAnsi="Times New Roman" w:cs="Times New Roman"/>
          <w:sz w:val="24"/>
          <w:szCs w:val="24"/>
          <w:lang w:val="ru-RU"/>
        </w:rPr>
        <w:t>функции</w:t>
      </w:r>
      <w:hyperlink w:anchor="bookmark26" w:tooltip="Current Document">
        <w:r w:rsidRPr="006B46C7">
          <w:rPr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27"/>
        </w:r>
      </w:hyperlink>
    </w:p>
    <w:p w14:paraId="620716C9" w14:textId="461F2FBB" w:rsidR="001B0301" w:rsidRPr="003F1236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ходе учений 2022 года с участием </w:t>
      </w:r>
      <w:r w:rsidR="0010743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представителей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Азиатско-Тихоокеанского региона проверялось трансграничное сотрудничество в области реагирования на кризисы между властями страны и принимающей страны, а также управление банкротствами банков. В ходе учений был разработан вымышленный сценарий, моделирующий </w:t>
      </w:r>
      <w:r w:rsidR="00FC63EB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постепенное увеличение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финансовых трудностей и, в конечном счете, </w:t>
      </w:r>
      <w:r w:rsidR="00280D4E" w:rsidRPr="006B46C7">
        <w:rPr>
          <w:rFonts w:ascii="Times New Roman" w:hAnsi="Times New Roman" w:cs="Times New Roman"/>
          <w:sz w:val="24"/>
          <w:szCs w:val="24"/>
          <w:lang w:val="ru-RU"/>
        </w:rPr>
        <w:t>банкротство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трансграничной банковской группы, имеющей региональную систему. По сравнению с другими учениями, проводимыми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FSI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это мероприятие в большей степени задействовало коллегию надзорных органов, чем учения в других регионах, и ожидается, что его результаты приведут к повышению эффективности </w:t>
      </w:r>
      <w:r w:rsidR="00280D4E" w:rsidRPr="006B46C7">
        <w:rPr>
          <w:rFonts w:ascii="Times New Roman" w:hAnsi="Times New Roman" w:cs="Times New Roman"/>
          <w:sz w:val="24"/>
          <w:szCs w:val="24"/>
          <w:lang w:val="ru-RU"/>
        </w:rPr>
        <w:t>межгосударственного взаимодействия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502101C" w14:textId="2DC85910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феврале 2023 года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FSI</w:t>
      </w:r>
      <w:r w:rsidR="007E53FB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провел учения с участием отдельных органов из восьми юрисдикций Африки к югу от Сахары. Примечательно, что в некоторых юрисдикциях не было четкой системы страхования вкладов.</w:t>
      </w:r>
    </w:p>
    <w:p w14:paraId="7B30DC02" w14:textId="275CDE0A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>Четвертые трехдневные учения прошли в феврале 2024 года с участием семи юрисдикций</w:t>
      </w:r>
      <w:r w:rsidR="00B7236D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Латинской Америки</w:t>
      </w:r>
      <w:r w:rsidR="00740174">
        <w:rPr>
          <w:rStyle w:val="af2"/>
          <w:rFonts w:ascii="Times New Roman" w:hAnsi="Times New Roman" w:cs="Times New Roman"/>
          <w:sz w:val="24"/>
          <w:szCs w:val="24"/>
          <w:lang w:val="ru-RU"/>
        </w:rPr>
        <w:footnoteReference w:id="28"/>
      </w:r>
    </w:p>
    <w:p w14:paraId="1C7530C4" w14:textId="00646EF9" w:rsidR="001B0301" w:rsidRPr="006B46C7" w:rsidRDefault="00233896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Учения были сосредоточены на урегулировании несостоятельности системно значимого института, одновременно 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3F1236">
        <w:rPr>
          <w:rFonts w:ascii="Times New Roman" w:hAnsi="Times New Roman" w:cs="Times New Roman"/>
          <w:sz w:val="24"/>
          <w:szCs w:val="24"/>
          <w:lang w:val="ru-RU"/>
        </w:rPr>
        <w:t>с акцентом на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]... трансграничный аспект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921E30">
        <w:rPr>
          <w:rStyle w:val="af2"/>
          <w:rFonts w:ascii="Times New Roman" w:hAnsi="Times New Roman" w:cs="Times New Roman"/>
          <w:sz w:val="24"/>
          <w:szCs w:val="24"/>
          <w:lang w:val="ru-RU"/>
        </w:rPr>
        <w:footnoteReference w:id="29"/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Однако трансграничное взаимодействие 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в основном ограничивалось обменом информацией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, а не выработкой совместных решений</w:t>
      </w:r>
      <w:hyperlink w:anchor="bookmark29" w:tooltip="Current Document">
        <w:r w:rsidR="004D2C53" w:rsidRPr="006B46C7">
          <w:rPr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4D2C53"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30"/>
        </w:r>
      </w:hyperlink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Вероятной причиной этого может служить отсутствие четких регламентов обмена информацией с трансграничными регуляторами в кризисных ситуациях</w:t>
      </w:r>
      <w:hyperlink w:anchor="bookmark30" w:tooltip="Current Document">
        <w:r w:rsidR="004D2C53" w:rsidRPr="006B46C7">
          <w:rPr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4D2C53"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31"/>
        </w:r>
      </w:hyperlink>
    </w:p>
    <w:p w14:paraId="56DC8261" w14:textId="5064A0AE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ходе этих исследований было выявлено несколько общих </w:t>
      </w:r>
      <w:r w:rsidR="00102586" w:rsidRPr="006B46C7">
        <w:rPr>
          <w:rFonts w:ascii="Times New Roman" w:hAnsi="Times New Roman" w:cs="Times New Roman"/>
          <w:sz w:val="24"/>
          <w:szCs w:val="24"/>
          <w:lang w:val="ru-RU"/>
        </w:rPr>
        <w:t>аспектов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46AC1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Межгосударственное взаимодействие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осуществлялась по официальным каналам под руководством принимающей юрисдикции.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FSI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отметила, что во многих случаях коммуникации носили </w:t>
      </w:r>
      <w:r w:rsidR="003F1236">
        <w:rPr>
          <w:rFonts w:ascii="Times New Roman" w:hAnsi="Times New Roman" w:cs="Times New Roman"/>
          <w:sz w:val="24"/>
          <w:szCs w:val="24"/>
          <w:lang w:val="ru-RU"/>
        </w:rPr>
        <w:t>реактивный</w:t>
      </w:r>
      <w:r w:rsidR="00A46AC1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характер, а </w:t>
      </w:r>
      <w:r w:rsidR="007E53FB" w:rsidRPr="006B46C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совместное принятие решений и сотрудничество были ограничены</w:t>
      </w:r>
      <w:r w:rsidR="007E53FB" w:rsidRPr="006B46C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, и участники сосредоточились на внутренних решениях</w:t>
      </w:r>
      <w:hyperlink w:anchor="bookmark31" w:tooltip="Current Document">
        <w:r w:rsidRPr="006B46C7">
          <w:rPr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32"/>
        </w:r>
      </w:hyperlink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Как первые латиноамериканские, так и африканские учения подчеркивают сложность коммуникации во время кризиса и важность </w:t>
      </w:r>
      <w:r w:rsidR="007E53FB" w:rsidRPr="006B46C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[сосредо</w:t>
      </w:r>
      <w:r w:rsidR="008B7217" w:rsidRPr="006B46C7">
        <w:rPr>
          <w:rFonts w:ascii="Times New Roman" w:hAnsi="Times New Roman" w:cs="Times New Roman"/>
          <w:sz w:val="24"/>
          <w:szCs w:val="24"/>
          <w:lang w:val="ru-RU"/>
        </w:rPr>
        <w:t>точенности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] на практических аспектах урегулирования несостоятельности</w:t>
      </w:r>
      <w:hyperlink w:anchor="bookmark32" w:tooltip="Current Document">
        <w:r w:rsidR="007E53FB" w:rsidRPr="006B46C7">
          <w:rPr>
            <w:rFonts w:ascii="Times New Roman" w:hAnsi="Times New Roman" w:cs="Times New Roman"/>
            <w:sz w:val="24"/>
            <w:szCs w:val="24"/>
            <w:lang w:val="ru-RU"/>
          </w:rPr>
          <w:t>»</w:t>
        </w:r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33"/>
        </w:r>
      </w:hyperlink>
      <w:r w:rsidR="003F1236">
        <w:rPr>
          <w:rFonts w:ascii="Times New Roman" w:hAnsi="Times New Roman" w:cs="Times New Roman"/>
          <w:sz w:val="24"/>
          <w:szCs w:val="24"/>
          <w:lang w:val="ru-RU"/>
        </w:rPr>
        <w:t>. Разработав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53FB" w:rsidRPr="006B46C7">
        <w:rPr>
          <w:rFonts w:ascii="Times New Roman" w:hAnsi="Times New Roman" w:cs="Times New Roman"/>
          <w:sz w:val="24"/>
          <w:szCs w:val="24"/>
          <w:lang w:val="ru-RU"/>
        </w:rPr>
        <w:t>планы действий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инструменты заранее, можно </w:t>
      </w:r>
      <w:r w:rsidR="00A46AC1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опробовать </w:t>
      </w:r>
      <w:r w:rsidR="003F1236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A46AC1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наступления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кризиса, чтобы улучшить </w:t>
      </w:r>
      <w:r w:rsidR="007E53FB" w:rsidRPr="006B46C7">
        <w:rPr>
          <w:rFonts w:ascii="Times New Roman" w:hAnsi="Times New Roman" w:cs="Times New Roman"/>
          <w:sz w:val="24"/>
          <w:szCs w:val="24"/>
          <w:lang w:val="ru-RU"/>
        </w:rPr>
        <w:t>результат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во время фактического события.</w:t>
      </w:r>
    </w:p>
    <w:p w14:paraId="64829F66" w14:textId="1D26CDF3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в докладе отмечается, что национальные органы власти, не включенные в программу, не </w:t>
      </w:r>
      <w:r w:rsidR="007E53FB" w:rsidRPr="006B46C7">
        <w:rPr>
          <w:rFonts w:ascii="Times New Roman" w:hAnsi="Times New Roman" w:cs="Times New Roman"/>
          <w:sz w:val="24"/>
          <w:szCs w:val="24"/>
          <w:lang w:val="ru-RU"/>
        </w:rPr>
        <w:t>приняли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всестороннего участия в принятии решений, что подчеркивает важность разработки реалистичных сценариев, в которых должны проводиться надлежащие консультации</w:t>
      </w:r>
      <w:hyperlink w:anchor="bookmark33" w:tooltip="Current Document">
        <w:r w:rsidRPr="006B46C7">
          <w:rPr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34"/>
        </w:r>
      </w:hyperlink>
    </w:p>
    <w:p w14:paraId="0229F5EF" w14:textId="3966BE0B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Некоторые страховщики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взяли на себя инициативу по организации собственных трансграничных симуляций. В декабре 2021 года Агентство по страхованию вкладов Албании провело симуляцию для выявления проблем при выплате страхового возмещения вкладчикам банком-агентом. Помимо Банка Албании, в нем приняли участие Фонд страхования вкладов Косово и два учреждения-члена в качестве банков-агентов. Агентство по страхованию вкладов Албании считает учения успешными, поскольку они достигли четко поставленных целей: </w:t>
      </w:r>
      <w:r w:rsidR="007E53FB" w:rsidRPr="006B46C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повышение уровня осведомленности и профессионального потенциала по сравнению с ранее проведенными учениями</w:t>
      </w:r>
      <w:r w:rsidR="007E53FB" w:rsidRPr="006B46C7">
        <w:rPr>
          <w:rFonts w:ascii="Times New Roman" w:hAnsi="Times New Roman" w:cs="Times New Roman"/>
          <w:sz w:val="24"/>
          <w:szCs w:val="24"/>
          <w:lang w:val="ru-RU"/>
        </w:rPr>
        <w:t>»</w:t>
      </w:r>
      <w:hyperlink w:anchor="bookmark34" w:tooltip="Current Document">
        <w:r w:rsidRPr="006B46C7">
          <w:rPr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35"/>
        </w:r>
      </w:hyperlink>
    </w:p>
    <w:p w14:paraId="1ECC7831" w14:textId="5C12FD6D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Тестирование готовности к кризисным ситуациям и управления ими </w:t>
      </w:r>
      <w:r w:rsidR="00647BE4" w:rsidRPr="006B46C7">
        <w:rPr>
          <w:rFonts w:ascii="Times New Roman" w:hAnsi="Times New Roman" w:cs="Times New Roman"/>
          <w:sz w:val="24"/>
          <w:szCs w:val="24"/>
          <w:lang w:val="ru-RU"/>
        </w:rPr>
        <w:t>— это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растущая область, которая все чаще используется страховщиками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. Ожидается, что по мере развития программ будет повышаться уровень соблюдения соответствующих Основополагающих принципов. Число трансграничных учений увеличилось благодаря помощи третьих сторон. Извлеченные уро</w:t>
      </w:r>
      <w:r w:rsidR="007E53FB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ки, хотя и уникальны для </w:t>
      </w:r>
      <w:r w:rsidR="00647BE4" w:rsidRPr="006B46C7">
        <w:rPr>
          <w:rFonts w:ascii="Times New Roman" w:hAnsi="Times New Roman" w:cs="Times New Roman"/>
          <w:sz w:val="24"/>
          <w:szCs w:val="24"/>
          <w:lang w:val="ru-RU"/>
        </w:rPr>
        <w:t>каждого случая тестирования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E53FB" w:rsidRPr="006B46C7">
        <w:rPr>
          <w:rFonts w:ascii="Times New Roman" w:hAnsi="Times New Roman" w:cs="Times New Roman"/>
          <w:sz w:val="24"/>
          <w:szCs w:val="24"/>
          <w:lang w:val="ru-RU"/>
        </w:rPr>
        <w:t>соответствуют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53FB" w:rsidRPr="006B46C7">
        <w:rPr>
          <w:rFonts w:ascii="Times New Roman" w:hAnsi="Times New Roman" w:cs="Times New Roman"/>
          <w:sz w:val="24"/>
          <w:szCs w:val="24"/>
          <w:lang w:val="ru-RU"/>
        </w:rPr>
        <w:t>передовой практике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описанной в </w:t>
      </w:r>
      <w:r w:rsidR="007E53FB" w:rsidRPr="006B46C7">
        <w:rPr>
          <w:rFonts w:ascii="Times New Roman" w:hAnsi="Times New Roman" w:cs="Times New Roman"/>
          <w:sz w:val="24"/>
          <w:szCs w:val="24"/>
          <w:lang w:val="ru-RU"/>
        </w:rPr>
        <w:t>исследованиях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В будущем в </w:t>
      </w:r>
      <w:r w:rsidR="0041547C" w:rsidRPr="006B46C7">
        <w:rPr>
          <w:rFonts w:ascii="Times New Roman" w:hAnsi="Times New Roman" w:cs="Times New Roman"/>
          <w:sz w:val="24"/>
          <w:szCs w:val="24"/>
          <w:lang w:val="ru-RU"/>
        </w:rPr>
        <w:t>исследовательской литературе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можно будет рассмотреть, как оцениваются мероприятия, как разрабатываются метрики отчётности и как измеряется их успех.</w:t>
      </w:r>
    </w:p>
    <w:p w14:paraId="252BA348" w14:textId="32A35BBE" w:rsidR="001B0301" w:rsidRPr="00186471" w:rsidRDefault="008D40F5" w:rsidP="00186471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  <w:r w:rsidRPr="006B46C7">
        <w:rPr>
          <w:lang w:val="ru-RU"/>
        </w:rPr>
        <w:br w:type="page"/>
      </w:r>
      <w:bookmarkStart w:id="70" w:name="bookmark113"/>
      <w:bookmarkStart w:id="71" w:name="bookmark111"/>
      <w:bookmarkStart w:id="72" w:name="bookmark112"/>
      <w:bookmarkStart w:id="73" w:name="bookmark114"/>
      <w:bookmarkStart w:id="74" w:name="bookmark110"/>
      <w:bookmarkStart w:id="75" w:name="_Toc206774057"/>
      <w:bookmarkEnd w:id="70"/>
      <w:r w:rsidR="00186471" w:rsidRPr="00186471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4D2C53" w:rsidRPr="00186471">
        <w:rPr>
          <w:rFonts w:ascii="Times New Roman" w:hAnsi="Times New Roman" w:cs="Times New Roman"/>
          <w:sz w:val="28"/>
          <w:szCs w:val="28"/>
          <w:lang w:val="ru-RU"/>
        </w:rPr>
        <w:t>Анализ</w:t>
      </w:r>
      <w:bookmarkEnd w:id="71"/>
      <w:bookmarkEnd w:id="72"/>
      <w:bookmarkEnd w:id="73"/>
      <w:bookmarkEnd w:id="74"/>
      <w:bookmarkEnd w:id="75"/>
    </w:p>
    <w:p w14:paraId="03AA432B" w14:textId="77777777" w:rsidR="00186471" w:rsidRPr="00186471" w:rsidRDefault="00186471" w:rsidP="00186471">
      <w:pPr>
        <w:rPr>
          <w:rFonts w:ascii="Times New Roman" w:hAnsi="Times New Roman" w:cs="Times New Roman"/>
          <w:lang w:val="ru-RU"/>
        </w:rPr>
      </w:pPr>
    </w:p>
    <w:p w14:paraId="1623C378" w14:textId="07DCA5DB" w:rsidR="001B0301" w:rsidRPr="006B46C7" w:rsidRDefault="004D2C53">
      <w:pPr>
        <w:pStyle w:val="11"/>
        <w:spacing w:after="3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6" w:name="bookmark115"/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Данный раздел состоит из трех частей, в которых </w:t>
      </w:r>
      <w:r w:rsidR="00BF4D31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опыт членов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разработке своих программ тестирования, исследуется влияние тестирования на реальные кризисные события, а также фиксируются изменения и прогресс, достигнутый членами 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RCNA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 момента выхода исследовательской работы 2021 года. В каждом разделе рассматривается информация, полученная в ходе опроса семи региональных комитетов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(19 ответов</w:t>
      </w:r>
      <w:hyperlink w:anchor="bookmark35" w:tooltip="Current Document">
        <w:r w:rsidRPr="006B46C7">
          <w:rPr>
            <w:rFonts w:ascii="Times New Roman" w:hAnsi="Times New Roman" w:cs="Times New Roman"/>
            <w:sz w:val="24"/>
            <w:szCs w:val="24"/>
            <w:lang w:val="ru-RU"/>
          </w:rPr>
          <w:t>)</w:t>
        </w:r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36"/>
        </w:r>
      </w:hyperlink>
      <w:r w:rsidRPr="006B46C7">
        <w:rPr>
          <w:rFonts w:ascii="Times New Roman" w:hAnsi="Times New Roman" w:cs="Times New Roman"/>
          <w:sz w:val="24"/>
          <w:szCs w:val="24"/>
          <w:lang w:val="ru-RU"/>
        </w:rPr>
        <w:t>, и дополняется соответствующими тематическими исследованиями, разработанными членами рабочей группы.</w:t>
      </w:r>
      <w:bookmarkEnd w:id="76"/>
    </w:p>
    <w:p w14:paraId="750EA2EA" w14:textId="4DB9E6BE" w:rsidR="001B0301" w:rsidRDefault="00186471" w:rsidP="00186471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  <w:bookmarkStart w:id="78" w:name="bookmark116"/>
      <w:bookmarkStart w:id="79" w:name="_Toc206774058"/>
      <w:bookmarkEnd w:id="78"/>
      <w:r w:rsidRPr="00186471">
        <w:rPr>
          <w:rFonts w:ascii="Times New Roman" w:hAnsi="Times New Roman" w:cs="Times New Roman"/>
          <w:sz w:val="28"/>
          <w:szCs w:val="28"/>
          <w:lang w:val="ru-RU"/>
        </w:rPr>
        <w:t xml:space="preserve">4.1. </w:t>
      </w:r>
      <w:r w:rsidR="004D2C53" w:rsidRPr="00186471">
        <w:rPr>
          <w:rFonts w:ascii="Times New Roman" w:hAnsi="Times New Roman" w:cs="Times New Roman"/>
          <w:sz w:val="28"/>
          <w:szCs w:val="28"/>
          <w:lang w:val="ru-RU"/>
        </w:rPr>
        <w:t>Со</w:t>
      </w:r>
      <w:r w:rsidR="00103344" w:rsidRPr="00186471">
        <w:rPr>
          <w:rFonts w:ascii="Times New Roman" w:hAnsi="Times New Roman" w:cs="Times New Roman"/>
          <w:sz w:val="28"/>
          <w:szCs w:val="28"/>
          <w:lang w:val="ru-RU"/>
        </w:rPr>
        <w:t>ставление</w:t>
      </w:r>
      <w:r w:rsidR="004D2C53" w:rsidRPr="00186471">
        <w:rPr>
          <w:rFonts w:ascii="Times New Roman" w:hAnsi="Times New Roman" w:cs="Times New Roman"/>
          <w:sz w:val="28"/>
          <w:szCs w:val="28"/>
          <w:lang w:val="ru-RU"/>
        </w:rPr>
        <w:t xml:space="preserve"> программы </w:t>
      </w:r>
      <w:r w:rsidR="0041547C" w:rsidRPr="00186471">
        <w:rPr>
          <w:rFonts w:ascii="Times New Roman" w:hAnsi="Times New Roman" w:cs="Times New Roman"/>
          <w:sz w:val="28"/>
          <w:szCs w:val="28"/>
          <w:lang w:val="ru-RU"/>
        </w:rPr>
        <w:t>проверки</w:t>
      </w:r>
      <w:bookmarkEnd w:id="79"/>
    </w:p>
    <w:p w14:paraId="5C3777AC" w14:textId="77777777" w:rsidR="00186471" w:rsidRPr="00186471" w:rsidRDefault="00186471" w:rsidP="00186471">
      <w:pPr>
        <w:rPr>
          <w:lang w:val="ru-RU"/>
        </w:rPr>
      </w:pPr>
    </w:p>
    <w:p w14:paraId="4D8CE06C" w14:textId="77777777" w:rsidR="001B0301" w:rsidRPr="00186471" w:rsidRDefault="004D2C53">
      <w:pPr>
        <w:pStyle w:val="11"/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6471">
        <w:rPr>
          <w:rFonts w:ascii="Times New Roman" w:hAnsi="Times New Roman" w:cs="Times New Roman"/>
          <w:color w:val="1E2E8B"/>
          <w:sz w:val="24"/>
          <w:szCs w:val="24"/>
          <w:lang w:val="ru-RU"/>
        </w:rPr>
        <w:t>Основные выводы</w:t>
      </w:r>
    </w:p>
    <w:p w14:paraId="308A5AFD" w14:textId="59726ACA" w:rsidR="001B0301" w:rsidRPr="006B46C7" w:rsidRDefault="004D2C53" w:rsidP="00241B64">
      <w:pPr>
        <w:pStyle w:val="11"/>
        <w:numPr>
          <w:ilvl w:val="0"/>
          <w:numId w:val="5"/>
        </w:numPr>
        <w:tabs>
          <w:tab w:val="left" w:pos="284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0" w:name="bookmark117"/>
      <w:bookmarkEnd w:id="80"/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большинстве опрошенных юрисдикций программы тестирования готовности к кризисным ситуациям и управления ими изначально были нацелены на обеспечение непрерывности </w:t>
      </w:r>
      <w:r w:rsidR="00241B64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ведения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бизнеса и проверку способности управлять </w:t>
      </w:r>
      <w:r w:rsidR="00241B64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страховыми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выплатами и ликвидацией.</w:t>
      </w:r>
    </w:p>
    <w:p w14:paraId="46D167E3" w14:textId="77777777" w:rsidR="001B0301" w:rsidRPr="006B46C7" w:rsidRDefault="004D2C53" w:rsidP="00241B64">
      <w:pPr>
        <w:pStyle w:val="11"/>
        <w:numPr>
          <w:ilvl w:val="0"/>
          <w:numId w:val="5"/>
        </w:numPr>
        <w:tabs>
          <w:tab w:val="left" w:pos="284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1" w:name="bookmark118"/>
      <w:bookmarkEnd w:id="81"/>
      <w:r w:rsidRPr="006B46C7">
        <w:rPr>
          <w:rFonts w:ascii="Times New Roman" w:hAnsi="Times New Roman" w:cs="Times New Roman"/>
          <w:sz w:val="24"/>
          <w:szCs w:val="24"/>
          <w:lang w:val="ru-RU"/>
        </w:rPr>
        <w:t>По мере развития программ тестирования их сфера охвата расширилась и стала включать механизмы финансового оздоровления, урегулирования несостоятельности и устойчивости к критическим событиям.</w:t>
      </w:r>
    </w:p>
    <w:p w14:paraId="6A8B5058" w14:textId="73E66CD7" w:rsidR="001B0301" w:rsidRPr="006B46C7" w:rsidRDefault="00B73BA1" w:rsidP="00241B64">
      <w:pPr>
        <w:pStyle w:val="11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2" w:name="bookmark119"/>
      <w:bookmarkEnd w:id="82"/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большинстве случаев тестирование инициировалось на операционном уровне с последующим утверждением высшего руководства. </w:t>
      </w:r>
    </w:p>
    <w:p w14:paraId="7D963AD9" w14:textId="77CB5A12" w:rsidR="001B0301" w:rsidRPr="006B46C7" w:rsidRDefault="00B73BA1" w:rsidP="00241B64">
      <w:pPr>
        <w:pStyle w:val="11"/>
        <w:numPr>
          <w:ilvl w:val="0"/>
          <w:numId w:val="5"/>
        </w:numPr>
        <w:tabs>
          <w:tab w:val="left" w:pos="284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3" w:name="bookmark120"/>
      <w:bookmarkEnd w:id="83"/>
      <w:r w:rsidRPr="006B46C7">
        <w:rPr>
          <w:rFonts w:ascii="Times New Roman" w:hAnsi="Times New Roman" w:cs="Times New Roman"/>
          <w:sz w:val="24"/>
          <w:szCs w:val="24"/>
          <w:lang w:val="ru-RU"/>
        </w:rPr>
        <w:t>В текущей практике наблюдается тенденция к расширению круга участников учений, включая представителей смежных ведомств, международных регуляторов и ключевых стейкхолдеров, что способствует усилению межведомственного взаимодействия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75C92D8" w14:textId="75728C46" w:rsidR="001B0301" w:rsidRPr="006B46C7" w:rsidRDefault="00B73BA1" w:rsidP="00B73BA1">
      <w:pPr>
        <w:pStyle w:val="11"/>
        <w:numPr>
          <w:ilvl w:val="0"/>
          <w:numId w:val="5"/>
        </w:numPr>
        <w:pBdr>
          <w:bottom w:val="single" w:sz="4" w:space="0" w:color="auto"/>
        </w:pBdr>
        <w:tabs>
          <w:tab w:val="left" w:pos="284"/>
        </w:tabs>
        <w:spacing w:after="24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4" w:name="bookmark121"/>
      <w:bookmarkEnd w:id="84"/>
      <w:r w:rsidRPr="006B46C7">
        <w:rPr>
          <w:rFonts w:ascii="Times New Roman" w:hAnsi="Times New Roman" w:cs="Times New Roman"/>
          <w:sz w:val="24"/>
          <w:szCs w:val="24"/>
          <w:lang w:val="ru-RU"/>
        </w:rPr>
        <w:t>Среди типовых организационных сложностей можно выделить: дефицит ресурсного обеспечения; конкуренцию приоритетов; эффект профессионального выгорания от частых проверок; отсутствие стандартизированных KPI эффективности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57A0D43" w14:textId="624ADE43" w:rsidR="001B0301" w:rsidRPr="006B46C7" w:rsidRDefault="00EB67DF" w:rsidP="009F157D">
      <w:pPr>
        <w:pStyle w:val="11"/>
        <w:spacing w:after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отя </w:t>
      </w:r>
      <w:r>
        <w:rPr>
          <w:rFonts w:ascii="Times New Roman" w:hAnsi="Times New Roman" w:cs="Times New Roman"/>
          <w:sz w:val="24"/>
          <w:szCs w:val="24"/>
          <w:lang w:val="ru-RU"/>
        </w:rPr>
        <w:t>предмету</w:t>
      </w:r>
      <w:r w:rsidR="002B6557" w:rsidRPr="00EB67DF">
        <w:rPr>
          <w:rFonts w:ascii="Times New Roman" w:hAnsi="Times New Roman" w:cs="Times New Roman"/>
          <w:sz w:val="24"/>
          <w:szCs w:val="24"/>
          <w:lang w:val="ru-RU"/>
        </w:rPr>
        <w:t xml:space="preserve"> подготовки</w:t>
      </w:r>
      <w:r w:rsidR="004D2C53" w:rsidRPr="00EB67DF">
        <w:rPr>
          <w:rFonts w:ascii="Times New Roman" w:hAnsi="Times New Roman" w:cs="Times New Roman"/>
          <w:sz w:val="24"/>
          <w:szCs w:val="24"/>
          <w:lang w:val="ru-RU"/>
        </w:rPr>
        <w:t xml:space="preserve"> к кризисам и управления ими </w:t>
      </w:r>
      <w:r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B73BA1" w:rsidRPr="00EB67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2C53" w:rsidRPr="00EB67DF">
        <w:rPr>
          <w:rFonts w:ascii="Times New Roman" w:hAnsi="Times New Roman" w:cs="Times New Roman"/>
          <w:sz w:val="24"/>
          <w:szCs w:val="24"/>
          <w:lang w:val="ru-RU"/>
        </w:rPr>
        <w:t>более двух десятилетий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большинство исследованных юрисдикций начали вкладывать средства в укрепление своего инструментария для управления банкротствами банков и запускать программы тестирования только после глобального финансового кризиса 2007-2008 годов. </w:t>
      </w:r>
      <w:r>
        <w:rPr>
          <w:rFonts w:ascii="Times New Roman" w:hAnsi="Times New Roman" w:cs="Times New Roman"/>
          <w:sz w:val="24"/>
          <w:szCs w:val="24"/>
          <w:lang w:val="ru-RU"/>
        </w:rPr>
        <w:t>Главными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событиями, побудившими респондентов начать тестирование, стали недавние банкротства банков, изменения в законодательстве (например, Директива 2014/49/</w:t>
      </w:r>
      <w:r w:rsidR="004D2C53" w:rsidRPr="006B46C7">
        <w:rPr>
          <w:rFonts w:ascii="Times New Roman" w:hAnsi="Times New Roman" w:cs="Times New Roman"/>
          <w:sz w:val="24"/>
          <w:szCs w:val="24"/>
        </w:rPr>
        <w:t>EU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 w:rsidR="006B46C7">
        <w:rPr>
          <w:rFonts w:ascii="Times New Roman" w:hAnsi="Times New Roman" w:cs="Times New Roman"/>
          <w:sz w:val="24"/>
          <w:szCs w:val="24"/>
          <w:lang w:val="ru-RU"/>
        </w:rPr>
        <w:t>системах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46C7">
        <w:rPr>
          <w:rFonts w:ascii="Times New Roman" w:hAnsi="Times New Roman" w:cs="Times New Roman"/>
          <w:sz w:val="24"/>
          <w:szCs w:val="24"/>
          <w:lang w:val="ru-RU"/>
        </w:rPr>
        <w:t>страхования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вкладов (</w:t>
      </w:r>
      <w:r>
        <w:rPr>
          <w:rFonts w:ascii="Times New Roman" w:hAnsi="Times New Roman" w:cs="Times New Roman"/>
          <w:sz w:val="24"/>
          <w:szCs w:val="24"/>
        </w:rPr>
        <w:t>DGSD</w:t>
      </w:r>
      <w:r w:rsidR="009F157D" w:rsidRPr="006B46C7">
        <w:rPr>
          <w:rStyle w:val="af2"/>
          <w:rFonts w:ascii="Times New Roman" w:hAnsi="Times New Roman" w:cs="Times New Roman"/>
          <w:sz w:val="24"/>
          <w:szCs w:val="24"/>
        </w:rPr>
        <w:footnoteReference w:id="37"/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), усовершенствование инструментария урегулирования, назначение органов по урегулированию несостоятельности, лучшие международные практики и опасения </w:t>
      </w:r>
      <w:r w:rsidR="002B6557" w:rsidRPr="006B46C7">
        <w:rPr>
          <w:rFonts w:ascii="Times New Roman" w:hAnsi="Times New Roman" w:cs="Times New Roman"/>
          <w:sz w:val="24"/>
          <w:szCs w:val="24"/>
          <w:lang w:val="ru-RU"/>
        </w:rPr>
        <w:t>относительно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текущей </w:t>
      </w:r>
      <w:r w:rsidR="002B6557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ситуации 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(например, пандемия </w:t>
      </w:r>
      <w:r w:rsidR="004D2C53" w:rsidRPr="006B46C7">
        <w:rPr>
          <w:rFonts w:ascii="Times New Roman" w:hAnsi="Times New Roman" w:cs="Times New Roman"/>
          <w:sz w:val="24"/>
          <w:szCs w:val="24"/>
        </w:rPr>
        <w:t>COVID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-19). </w:t>
      </w:r>
      <w:r w:rsidR="00602134" w:rsidRPr="006B46C7">
        <w:rPr>
          <w:rFonts w:ascii="Times New Roman" w:hAnsi="Times New Roman" w:cs="Times New Roman"/>
          <w:sz w:val="24"/>
          <w:szCs w:val="24"/>
          <w:lang w:val="ru-RU"/>
        </w:rPr>
        <w:t>Большинство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юрисдикции </w:t>
      </w:r>
      <w:r w:rsidR="009F157D" w:rsidRPr="006B46C7">
        <w:rPr>
          <w:rFonts w:ascii="Times New Roman" w:hAnsi="Times New Roman" w:cs="Times New Roman"/>
          <w:sz w:val="24"/>
          <w:szCs w:val="24"/>
          <w:lang w:val="ru-RU"/>
        </w:rPr>
        <w:t>проявляли инициативу самостоятельно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получали мощную поддержку на высшем уровне для проведения тестирования готовности к кризису и управления им.</w:t>
      </w:r>
    </w:p>
    <w:p w14:paraId="365B7DEF" w14:textId="6D3D945E" w:rsidR="001B0301" w:rsidRPr="006B46C7" w:rsidRDefault="00602134">
      <w:pPr>
        <w:pStyle w:val="11"/>
        <w:spacing w:after="6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>Согласно полученным данным, 84 % юрисдикций ранее проводили проверку планов по обеспечению готовности к кризисным ситуациям и их управлению. Организации, ответившие «никогда», указали, что находятся в процессе разработки таких планов. Наиболее часто в качестве основной причины задержки в реализации программы тестирования называлась нехватка ресурсов.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569"/>
        <w:gridCol w:w="4569"/>
      </w:tblGrid>
      <w:tr w:rsidR="0090278D" w:rsidRPr="00B6286F" w14:paraId="5CB3EB14" w14:textId="77777777" w:rsidTr="0090278D">
        <w:trPr>
          <w:trHeight w:val="20"/>
        </w:trPr>
        <w:tc>
          <w:tcPr>
            <w:tcW w:w="4569" w:type="dxa"/>
          </w:tcPr>
          <w:p w14:paraId="638BBEAE" w14:textId="4B10E3D4" w:rsidR="0090278D" w:rsidRPr="006B46C7" w:rsidRDefault="0090278D" w:rsidP="0090278D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85" w:name="bookmark94"/>
            <w:r w:rsidRPr="006B46C7">
              <w:rPr>
                <w:rFonts w:ascii="Times New Roman" w:hAnsi="Times New Roman" w:cs="Times New Roman"/>
                <w:b/>
                <w:bCs/>
                <w:color w:val="1E2E8B"/>
                <w:sz w:val="24"/>
                <w:szCs w:val="24"/>
                <w:lang w:val="ru-RU"/>
              </w:rPr>
              <w:t xml:space="preserve">Рисунок 3 </w:t>
            </w:r>
            <w:r w:rsidR="00D83385" w:rsidRPr="006B46C7">
              <w:rPr>
                <w:rFonts w:ascii="Times New Roman" w:hAnsi="Times New Roman" w:cs="Times New Roman"/>
                <w:b/>
                <w:bCs/>
                <w:color w:val="1E2E8B"/>
                <w:sz w:val="24"/>
                <w:szCs w:val="24"/>
                <w:lang w:val="ru-RU"/>
              </w:rPr>
              <w:t>–</w:t>
            </w:r>
            <w:r w:rsidRPr="006B46C7">
              <w:rPr>
                <w:rFonts w:ascii="Times New Roman" w:hAnsi="Times New Roman" w:cs="Times New Roman"/>
                <w:b/>
                <w:bCs/>
                <w:color w:val="1E2E8B"/>
                <w:sz w:val="24"/>
                <w:szCs w:val="24"/>
                <w:lang w:val="ru-RU"/>
              </w:rPr>
              <w:t xml:space="preserve"> </w:t>
            </w:r>
            <w:bookmarkEnd w:id="85"/>
            <w:r w:rsidR="00D83385" w:rsidRPr="006B46C7">
              <w:rPr>
                <w:rFonts w:ascii="Times New Roman" w:hAnsi="Times New Roman" w:cs="Times New Roman"/>
                <w:b/>
                <w:bCs/>
                <w:color w:val="1E2E8B"/>
                <w:sz w:val="24"/>
                <w:szCs w:val="24"/>
                <w:lang w:val="ru-RU"/>
              </w:rPr>
              <w:t>Первое проведен</w:t>
            </w:r>
            <w:r w:rsidR="0012144B" w:rsidRPr="006B46C7">
              <w:rPr>
                <w:rFonts w:ascii="Times New Roman" w:hAnsi="Times New Roman" w:cs="Times New Roman"/>
                <w:b/>
                <w:bCs/>
                <w:color w:val="1E2E8B"/>
                <w:sz w:val="24"/>
                <w:szCs w:val="24"/>
                <w:lang w:val="ru-RU"/>
              </w:rPr>
              <w:t>ие учений</w:t>
            </w:r>
          </w:p>
          <w:p w14:paraId="1C4167FF" w14:textId="77777777" w:rsidR="0090278D" w:rsidRPr="006B46C7" w:rsidRDefault="0090278D" w:rsidP="0090278D">
            <w:pPr>
              <w:pStyle w:val="1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69" w:type="dxa"/>
          </w:tcPr>
          <w:p w14:paraId="143F5531" w14:textId="232E2335" w:rsidR="0090278D" w:rsidRPr="006B46C7" w:rsidRDefault="0090278D" w:rsidP="0090278D">
            <w:pPr>
              <w:pStyle w:val="1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b/>
                <w:bCs/>
                <w:color w:val="1E2E8B"/>
                <w:sz w:val="24"/>
                <w:szCs w:val="24"/>
                <w:lang w:val="ru-RU"/>
              </w:rPr>
              <w:t>Рисунок 4 - Количество проведенных учений</w:t>
            </w:r>
          </w:p>
        </w:tc>
      </w:tr>
      <w:tr w:rsidR="0090278D" w:rsidRPr="00B6286F" w14:paraId="14084DD2" w14:textId="77777777" w:rsidTr="0090278D">
        <w:trPr>
          <w:trHeight w:val="20"/>
        </w:trPr>
        <w:tc>
          <w:tcPr>
            <w:tcW w:w="4569" w:type="dxa"/>
          </w:tcPr>
          <w:p w14:paraId="7D4E3388" w14:textId="697EA7C0" w:rsidR="0090278D" w:rsidRPr="006B46C7" w:rsidRDefault="0090278D" w:rsidP="0090278D">
            <w:pPr>
              <w:pStyle w:val="1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5D386718" wp14:editId="57D7FBAE">
                  <wp:extent cx="2438400" cy="187642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9" w:type="dxa"/>
          </w:tcPr>
          <w:p w14:paraId="3C1BDD5F" w14:textId="777AD24B" w:rsidR="0090278D" w:rsidRPr="006B46C7" w:rsidRDefault="00D83385" w:rsidP="0090278D">
            <w:pPr>
              <w:pStyle w:val="1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7BBCCF62" wp14:editId="5245E6D5">
                  <wp:extent cx="2655038" cy="1907112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2810" cy="1919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8A6689" w14:textId="1FADF9DF" w:rsidR="0090278D" w:rsidRPr="006B46C7" w:rsidRDefault="0090278D">
      <w:pPr>
        <w:pStyle w:val="11"/>
        <w:spacing w:after="6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Источник: Опрос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, июнь 2023 г.</w:t>
      </w:r>
    </w:p>
    <w:p w14:paraId="29D7BC36" w14:textId="3D512D74" w:rsidR="00C22D16" w:rsidRPr="006B46C7" w:rsidRDefault="0012144B" w:rsidP="00C22D16">
      <w:pPr>
        <w:pStyle w:val="11"/>
        <w:spacing w:after="0" w:line="240" w:lineRule="auto"/>
        <w:jc w:val="both"/>
        <w:rPr>
          <w:rStyle w:val="a5"/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Изначально </w:t>
      </w:r>
      <w:r w:rsidR="00C22D16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тестирование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носило эпизодический характер</w:t>
      </w:r>
      <w:r w:rsidR="00C22D16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было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ориентированно на внутренние процессы</w:t>
      </w:r>
      <w:r w:rsidR="00C22D16" w:rsidRPr="006B46C7">
        <w:rPr>
          <w:rFonts w:ascii="Times New Roman" w:hAnsi="Times New Roman" w:cs="Times New Roman"/>
          <w:sz w:val="24"/>
          <w:szCs w:val="24"/>
          <w:lang w:val="ru-RU"/>
        </w:rPr>
        <w:t>, направленных на оценку политик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22D16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процедур страховщиков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="00C22D16" w:rsidRPr="006B46C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По мере развития программ юрисдикции расширили цели тестирования и усовершенствовали процессы определения приоритетов</w:t>
      </w:r>
      <w:r w:rsidR="00C22D16" w:rsidRPr="006B46C7">
        <w:rPr>
          <w:rStyle w:val="a5"/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B46C7">
        <w:rPr>
          <w:rStyle w:val="a5"/>
          <w:rFonts w:ascii="Times New Roman" w:hAnsi="Times New Roman" w:cs="Times New Roman"/>
          <w:sz w:val="24"/>
          <w:szCs w:val="24"/>
          <w:lang w:val="ru-RU"/>
        </w:rPr>
        <w:t>Данные цели включают</w:t>
      </w:r>
      <w:r w:rsidR="00C22D16" w:rsidRPr="006B46C7">
        <w:rPr>
          <w:rStyle w:val="a5"/>
          <w:rFonts w:ascii="Times New Roman" w:hAnsi="Times New Roman" w:cs="Times New Roman"/>
          <w:sz w:val="24"/>
          <w:szCs w:val="24"/>
          <w:lang w:val="ru-RU"/>
        </w:rPr>
        <w:t>:</w:t>
      </w:r>
    </w:p>
    <w:p w14:paraId="33CD15AC" w14:textId="77777777" w:rsidR="00C22D16" w:rsidRPr="006B46C7" w:rsidRDefault="00C22D16" w:rsidP="00C22D16">
      <w:pPr>
        <w:pStyle w:val="11"/>
        <w:spacing w:after="0" w:line="240" w:lineRule="auto"/>
        <w:jc w:val="both"/>
        <w:rPr>
          <w:rStyle w:val="a5"/>
          <w:rFonts w:ascii="Times New Roman" w:hAnsi="Times New Roman" w:cs="Times New Roman"/>
          <w:sz w:val="24"/>
          <w:szCs w:val="24"/>
          <w:lang w:val="ru-RU"/>
        </w:rPr>
      </w:pPr>
    </w:p>
    <w:p w14:paraId="3DC91BBC" w14:textId="1D44EA97" w:rsidR="00C22D16" w:rsidRPr="006B46C7" w:rsidRDefault="00C22D16" w:rsidP="00C22D16">
      <w:pPr>
        <w:pStyle w:val="11"/>
        <w:numPr>
          <w:ilvl w:val="0"/>
          <w:numId w:val="18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>Оценку возможностей страховой выплаты (включая сбор данных)</w:t>
      </w:r>
    </w:p>
    <w:p w14:paraId="6739CD0B" w14:textId="77777777" w:rsidR="00C22D16" w:rsidRPr="006B46C7" w:rsidRDefault="00C22D16" w:rsidP="00C22D16">
      <w:pPr>
        <w:pStyle w:val="11"/>
        <w:numPr>
          <w:ilvl w:val="0"/>
          <w:numId w:val="18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>Тестирование механизмов восстановления и урегулирования для обеспечения операционной готовности</w:t>
      </w:r>
    </w:p>
    <w:p w14:paraId="2F7BFF5B" w14:textId="77777777" w:rsidR="00C22D16" w:rsidRPr="006B46C7" w:rsidRDefault="00C22D16" w:rsidP="00C22D16">
      <w:pPr>
        <w:pStyle w:val="11"/>
        <w:numPr>
          <w:ilvl w:val="0"/>
          <w:numId w:val="18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>Разъяснение протоколов, регулирующих управление кризисом</w:t>
      </w:r>
    </w:p>
    <w:p w14:paraId="4300102A" w14:textId="77777777" w:rsidR="00C22D16" w:rsidRPr="006B46C7" w:rsidRDefault="00C22D16" w:rsidP="00C22D16">
      <w:pPr>
        <w:pStyle w:val="11"/>
        <w:numPr>
          <w:ilvl w:val="0"/>
          <w:numId w:val="18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>Оценка межведомственной координации при реагировании на стрессовые ситуации в финансовом секторе</w:t>
      </w:r>
    </w:p>
    <w:p w14:paraId="7478E762" w14:textId="52D4F0ED" w:rsidR="00C22D16" w:rsidRPr="006B46C7" w:rsidRDefault="00C22D16" w:rsidP="00C22D16">
      <w:pPr>
        <w:pStyle w:val="11"/>
        <w:numPr>
          <w:ilvl w:val="0"/>
          <w:numId w:val="18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46C7">
        <w:rPr>
          <w:rFonts w:ascii="Times New Roman" w:hAnsi="Times New Roman" w:cs="Times New Roman"/>
          <w:sz w:val="24"/>
          <w:szCs w:val="24"/>
        </w:rPr>
        <w:t xml:space="preserve">Оценка устойчивости страховщиков </w:t>
      </w:r>
      <w:r w:rsidR="00103344" w:rsidRPr="006B46C7">
        <w:rPr>
          <w:rFonts w:ascii="Times New Roman" w:hAnsi="Times New Roman" w:cs="Times New Roman"/>
          <w:sz w:val="24"/>
          <w:szCs w:val="24"/>
        </w:rPr>
        <w:t>вкладов</w:t>
      </w:r>
    </w:p>
    <w:p w14:paraId="1C3ECCB0" w14:textId="0237A3F6" w:rsidR="00C22D16" w:rsidRPr="006B46C7" w:rsidRDefault="00C22D16" w:rsidP="00C22D16">
      <w:pPr>
        <w:pStyle w:val="11"/>
        <w:numPr>
          <w:ilvl w:val="0"/>
          <w:numId w:val="18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Обучение персонала для повышения уверенности сотрудников в своих возможностях в случае </w:t>
      </w:r>
      <w:r w:rsidR="00921E30">
        <w:rPr>
          <w:rFonts w:ascii="Times New Roman" w:hAnsi="Times New Roman" w:cs="Times New Roman"/>
          <w:sz w:val="24"/>
          <w:szCs w:val="24"/>
          <w:lang w:val="ru-RU"/>
        </w:rPr>
        <w:t xml:space="preserve">наступления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выплаты/урегулирования</w:t>
      </w:r>
    </w:p>
    <w:p w14:paraId="4E5E98F2" w14:textId="27045871" w:rsidR="001B0301" w:rsidRDefault="0012144B" w:rsidP="00534AAD">
      <w:pPr>
        <w:pStyle w:val="11"/>
        <w:spacing w:after="0"/>
        <w:jc w:val="both"/>
        <w:rPr>
          <w:rStyle w:val="a5"/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>По мере развития программ тестирования организации стали применять подходы, соответствующие их потребностям и доступным ресурсам. Хотя страховщики вкладов единодушно признают важность тестирования, распределение соответствующих функций в организационной структуре варьируется в зависимости</w:t>
      </w:r>
      <w:r w:rsidR="00921E30">
        <w:rPr>
          <w:rFonts w:ascii="Times New Roman" w:hAnsi="Times New Roman" w:cs="Times New Roman"/>
          <w:sz w:val="24"/>
          <w:szCs w:val="24"/>
          <w:lang w:val="ru-RU"/>
        </w:rPr>
        <w:t xml:space="preserve"> от специфики каждой организации</w:t>
      </w:r>
      <w:hyperlink w:anchor="bookmark37" w:tooltip="Current Document">
        <w:r w:rsidRPr="006B46C7">
          <w:rPr>
            <w:rFonts w:ascii="Times New Roman" w:hAnsi="Times New Roman" w:cs="Times New Roman"/>
            <w:sz w:val="24"/>
            <w:szCs w:val="24"/>
            <w:vertAlign w:val="superscript"/>
            <w:lang w:val="ru-RU"/>
          </w:rPr>
          <w:footnoteReference w:id="38"/>
        </w:r>
      </w:hyperlink>
      <w:r w:rsidRPr="006B46C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21E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Единого предпочтительного метода (централизованного, децентрализованного или гибридного) так и не сформировалось.</w:t>
      </w:r>
      <w:r w:rsidR="00921E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6AE568C" w14:textId="77777777" w:rsidR="00534AAD" w:rsidRPr="006B46C7" w:rsidRDefault="00534AAD" w:rsidP="006B46C7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149EFA" w14:textId="7D583AB6" w:rsidR="004B6412" w:rsidRPr="006B46C7" w:rsidRDefault="004D2C53" w:rsidP="006B46C7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Около трети респондентов создали специальную группу или бизнес-подразделение для применения более централизованного подхода к тестированию готовности к кризисным ситуациям и управления ими. В других случаях деятельность по тестированию часто входит в сферу ответственности отделов оценки рисков, урегулирования несостоятельности или выплат страхового возмещения или создается совместно с соответствующими бизнес-подразделениями. Во многих случаях специальное подразделение или сотрудники, отвечающие за тестирование, будут нести прямую ответственность во время реального кризиса. Например, </w:t>
      </w:r>
      <w:r w:rsidR="00CA5792">
        <w:rPr>
          <w:rFonts w:ascii="Times New Roman" w:hAnsi="Times New Roman" w:cs="Times New Roman"/>
          <w:sz w:val="24"/>
          <w:szCs w:val="24"/>
          <w:lang w:val="ru-RU"/>
        </w:rPr>
        <w:t>подразделение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1EFD">
        <w:rPr>
          <w:rFonts w:ascii="Times New Roman" w:hAnsi="Times New Roman" w:cs="Times New Roman"/>
          <w:sz w:val="24"/>
          <w:szCs w:val="24"/>
        </w:rPr>
        <w:t>PIDM</w:t>
      </w:r>
      <w:r w:rsidR="00CA5792">
        <w:rPr>
          <w:rStyle w:val="af2"/>
          <w:rFonts w:ascii="Times New Roman" w:hAnsi="Times New Roman" w:cs="Times New Roman"/>
          <w:sz w:val="24"/>
          <w:szCs w:val="24"/>
        </w:rPr>
        <w:footnoteReference w:id="39"/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, котор</w:t>
      </w:r>
      <w:r w:rsidR="00CA5792"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обычно организует межведомственное моделирование, при работе с кризисами будет преобразован в группу секретариата. Дополнительная информация о внутренней структуре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CMD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представлена в приведенном ниже тематическом исследовании.</w:t>
      </w:r>
    </w:p>
    <w:p w14:paraId="6020886C" w14:textId="4E7C0D34" w:rsidR="004B6412" w:rsidRPr="006B46C7" w:rsidRDefault="004D2C53" w:rsidP="006B46C7">
      <w:pPr>
        <w:pStyle w:val="11"/>
        <w:jc w:val="both"/>
        <w:rPr>
          <w:rFonts w:ascii="Times New Roman" w:hAnsi="Times New Roman" w:cs="Times New Roman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Большинство респондентов, имеющих </w:t>
      </w:r>
      <w:r w:rsidR="00CA5792">
        <w:rPr>
          <w:rFonts w:ascii="Times New Roman" w:hAnsi="Times New Roman" w:cs="Times New Roman"/>
          <w:sz w:val="24"/>
          <w:szCs w:val="24"/>
          <w:lang w:val="ru-RU"/>
        </w:rPr>
        <w:t>мандаты</w:t>
      </w:r>
      <w:r w:rsidR="00D92A55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5792">
        <w:rPr>
          <w:rFonts w:ascii="Times New Roman" w:hAnsi="Times New Roman" w:cs="Times New Roman"/>
          <w:sz w:val="24"/>
          <w:szCs w:val="24"/>
        </w:rPr>
        <w:t>Loss</w:t>
      </w:r>
      <w:r w:rsidR="00CA5792" w:rsidRPr="00CA5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5792">
        <w:rPr>
          <w:rFonts w:ascii="Times New Roman" w:hAnsi="Times New Roman" w:cs="Times New Roman"/>
          <w:sz w:val="24"/>
          <w:szCs w:val="24"/>
        </w:rPr>
        <w:t>Minimiser</w:t>
      </w:r>
      <w:r w:rsidR="00CA5792" w:rsidRPr="00CA5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5792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="00CA5792">
        <w:rPr>
          <w:rFonts w:ascii="Times New Roman" w:hAnsi="Times New Roman" w:cs="Times New Roman"/>
          <w:sz w:val="24"/>
          <w:szCs w:val="24"/>
        </w:rPr>
        <w:t>Risk</w:t>
      </w:r>
      <w:r w:rsidR="00CA5792" w:rsidRPr="00CA57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5792">
        <w:rPr>
          <w:rFonts w:ascii="Times New Roman" w:hAnsi="Times New Roman" w:cs="Times New Roman"/>
          <w:sz w:val="24"/>
          <w:szCs w:val="24"/>
        </w:rPr>
        <w:t>Minimiser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, а также представляющих Европейский или Азиатско-Тихоокеанский региональные комитеты, применяют систематический подход к тестированию и разработали официальные годовые или многолетние планы</w:t>
      </w:r>
      <w:r w:rsidR="00F15CB6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по проведению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5CB6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учений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с частотой проведения учений от одного раза в квартал до одного раза в два года. В рамках общей выборки мероприятия по проверке готовности к кризисным ситуациям и управлению ими обычно проводятся в форме </w:t>
      </w:r>
      <w:r w:rsidR="00943422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теоретических </w:t>
      </w:r>
      <w:r w:rsidR="009F6DFE" w:rsidRPr="006B46C7">
        <w:rPr>
          <w:rFonts w:ascii="Times New Roman" w:hAnsi="Times New Roman" w:cs="Times New Roman"/>
          <w:sz w:val="24"/>
          <w:szCs w:val="24"/>
          <w:lang w:val="ru-RU"/>
        </w:rPr>
        <w:t>заданий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симуляций или семинаров. Частота проведения испытаний часто зависит от наличия финансовых и </w:t>
      </w:r>
      <w:r w:rsidR="009F6DFE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кадровых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ресурсов, </w:t>
      </w:r>
      <w:r w:rsidR="00CF277C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планируемого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масштаба учений (например, одно полномасштабное моделирование в год </w:t>
      </w:r>
      <w:r w:rsidR="006F1D49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вместо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ежеквартальных </w:t>
      </w:r>
      <w:r w:rsidR="006F1D49" w:rsidRPr="006B46C7">
        <w:rPr>
          <w:rFonts w:ascii="Times New Roman" w:hAnsi="Times New Roman" w:cs="Times New Roman"/>
          <w:sz w:val="24"/>
          <w:szCs w:val="24"/>
          <w:lang w:val="ru-RU"/>
        </w:rPr>
        <w:t>теоретический учений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 и </w:t>
      </w:r>
      <w:r w:rsidR="001957BB" w:rsidRPr="001957B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зрелости</w:t>
      </w:r>
      <w:r w:rsidR="001957BB" w:rsidRPr="001957BB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процессов, подлежащих проверке.</w:t>
      </w:r>
      <w:r w:rsidR="004B6412" w:rsidRPr="006B46C7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3E93C154" w14:textId="4C35198B" w:rsidR="001B0301" w:rsidRPr="006B46C7" w:rsidRDefault="003A21C8" w:rsidP="004B6412">
      <w:pPr>
        <w:pStyle w:val="11"/>
        <w:spacing w:after="620"/>
        <w:jc w:val="both"/>
        <w:rPr>
          <w:rFonts w:ascii="Times New Roman" w:hAnsi="Times New Roman" w:cs="Times New Roman"/>
          <w:b/>
          <w:bCs/>
          <w:color w:val="1E2E8B"/>
          <w:sz w:val="24"/>
          <w:szCs w:val="24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4384" behindDoc="0" locked="0" layoutInCell="1" allowOverlap="1" wp14:anchorId="51EA06BE" wp14:editId="6C057D6C">
            <wp:simplePos x="0" y="0"/>
            <wp:positionH relativeFrom="column">
              <wp:posOffset>3001010</wp:posOffset>
            </wp:positionH>
            <wp:positionV relativeFrom="paragraph">
              <wp:posOffset>561340</wp:posOffset>
            </wp:positionV>
            <wp:extent cx="2495550" cy="202755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02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C53" w:rsidRPr="006B46C7"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125829395" behindDoc="0" locked="0" layoutInCell="1" allowOverlap="1" wp14:anchorId="6274FA46" wp14:editId="6287BABC">
                <wp:simplePos x="0" y="0"/>
                <wp:positionH relativeFrom="page">
                  <wp:posOffset>3914140</wp:posOffset>
                </wp:positionH>
                <wp:positionV relativeFrom="paragraph">
                  <wp:posOffset>12700</wp:posOffset>
                </wp:positionV>
                <wp:extent cx="1673225" cy="183600"/>
                <wp:effectExtent l="0" t="0" r="0" b="0"/>
                <wp:wrapSquare wrapText="left"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183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A222BB" w14:textId="0C88D7ED" w:rsidR="00801394" w:rsidRDefault="00801394">
                            <w:pPr>
                              <w:pStyle w:val="11"/>
                              <w:spacing w:after="0" w:line="240" w:lineRule="auto"/>
                              <w:rPr>
                                <w:b/>
                                <w:bCs/>
                                <w:color w:val="1E2E8B"/>
                                <w:sz w:val="20"/>
                                <w:szCs w:val="20"/>
                                <w:lang w:val="ru-RU"/>
                              </w:rPr>
                            </w:pPr>
                            <w:bookmarkStart w:id="86" w:name="bookmark95"/>
                            <w:r>
                              <w:rPr>
                                <w:b/>
                                <w:bCs/>
                                <w:color w:val="1E2E8B"/>
                                <w:sz w:val="20"/>
                                <w:szCs w:val="20"/>
                              </w:rPr>
                              <w:t xml:space="preserve">Рисунок 6 - Частота </w:t>
                            </w:r>
                            <w:bookmarkEnd w:id="86"/>
                            <w:r>
                              <w:rPr>
                                <w:b/>
                                <w:bCs/>
                                <w:color w:val="1E2E8B"/>
                                <w:sz w:val="20"/>
                                <w:szCs w:val="20"/>
                                <w:lang w:val="ru-RU"/>
                              </w:rPr>
                              <w:t>проведения учений</w:t>
                            </w:r>
                          </w:p>
                          <w:p w14:paraId="3EBB6D19" w14:textId="1E49EFCB" w:rsidR="00801394" w:rsidRDefault="00801394">
                            <w:pPr>
                              <w:pStyle w:val="11"/>
                              <w:spacing w:after="0" w:line="240" w:lineRule="auto"/>
                              <w:rPr>
                                <w:b/>
                                <w:bCs/>
                                <w:color w:val="1E2E8B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lang w:val="ru-RU" w:eastAsia="ru-RU" w:bidi="ar-SA"/>
                              </w:rPr>
                              <w:drawing>
                                <wp:inline distT="0" distB="0" distL="0" distR="0" wp14:anchorId="1581039C" wp14:editId="11742861">
                                  <wp:extent cx="257175" cy="183515"/>
                                  <wp:effectExtent l="0" t="0" r="0" b="0"/>
                                  <wp:docPr id="15" name="Shape 3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Shape 32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7175" cy="183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63E78E" w14:textId="63491FCA" w:rsidR="00801394" w:rsidRPr="006B46C7" w:rsidRDefault="00801394">
                            <w:pPr>
                              <w:pStyle w:val="11"/>
                              <w:spacing w:after="0" w:line="240" w:lineRule="auto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lang w:val="ru-RU" w:eastAsia="ru-RU" w:bidi="ar-SA"/>
                              </w:rPr>
                              <w:drawing>
                                <wp:inline distT="0" distB="0" distL="0" distR="0" wp14:anchorId="07557C13" wp14:editId="7585A9C2">
                                  <wp:extent cx="260350" cy="186055"/>
                                  <wp:effectExtent l="0" t="0" r="6350" b="4445"/>
                                  <wp:docPr id="16" name="Shape 3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Shape 32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0350" cy="186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274FA46" id="_x0000_t202" coordsize="21600,21600" o:spt="202" path="m,l,21600r21600,l21600,xe">
                <v:stroke joinstyle="miter"/>
                <v:path gradientshapeok="t" o:connecttype="rect"/>
              </v:shapetype>
              <v:shape id="Shape 28" o:spid="_x0000_s1026" type="#_x0000_t202" style="position:absolute;left:0;text-align:left;margin-left:308.2pt;margin-top:1pt;width:131.75pt;height:14.45pt;z-index:12582939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" filled="f" stroked="f">
                <v:textbox inset="0,0,0,0">
                  <w:txbxContent>
                    <w:p w14:paraId="03A222BB" w14:textId="0C88D7ED" w:rsidR="00801394" w:rsidRDefault="00801394">
                      <w:pPr>
                        <w:pStyle w:val="11"/>
                        <w:spacing w:after="0" w:line="240" w:lineRule="auto"/>
                        <w:rPr>
                          <w:b/>
                          <w:bCs/>
                          <w:color w:val="1E2E8B"/>
                          <w:sz w:val="20"/>
                          <w:szCs w:val="20"/>
                          <w:lang w:val="ru-RU"/>
                        </w:rPr>
                      </w:pPr>
                      <w:bookmarkStart w:id="87" w:name="bookmark95"/>
                      <w:r>
                        <w:rPr>
                          <w:b/>
                          <w:bCs/>
                          <w:color w:val="1E2E8B"/>
                          <w:sz w:val="20"/>
                          <w:szCs w:val="20"/>
                        </w:rPr>
                        <w:t xml:space="preserve">Рисунок 6 - Частота </w:t>
                      </w:r>
                      <w:bookmarkEnd w:id="87"/>
                      <w:r>
                        <w:rPr>
                          <w:b/>
                          <w:bCs/>
                          <w:color w:val="1E2E8B"/>
                          <w:sz w:val="20"/>
                          <w:szCs w:val="20"/>
                          <w:lang w:val="ru-RU"/>
                        </w:rPr>
                        <w:t>проведения учений</w:t>
                      </w:r>
                    </w:p>
                    <w:p w14:paraId="3EBB6D19" w14:textId="1E49EFCB" w:rsidR="00801394" w:rsidRDefault="00801394">
                      <w:pPr>
                        <w:pStyle w:val="11"/>
                        <w:spacing w:after="0" w:line="240" w:lineRule="auto"/>
                        <w:rPr>
                          <w:b/>
                          <w:bCs/>
                          <w:color w:val="1E2E8B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noProof/>
                          <w:lang w:val="ru-RU" w:eastAsia="ru-RU" w:bidi="ar-SA"/>
                        </w:rPr>
                        <w:drawing>
                          <wp:inline distT="0" distB="0" distL="0" distR="0" wp14:anchorId="1581039C" wp14:editId="11742861">
                            <wp:extent cx="257175" cy="183515"/>
                            <wp:effectExtent l="0" t="0" r="0" b="0"/>
                            <wp:docPr id="15" name="Shape 3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Shape 32"/>
                                    <pic:cNvPicPr/>
                                  </pic:nvPicPr>
                                  <pic:blipFill>
                                    <a:blip r:embed="rId17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175" cy="1835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63E78E" w14:textId="63491FCA" w:rsidR="00801394" w:rsidRPr="006B46C7" w:rsidRDefault="00801394">
                      <w:pPr>
                        <w:pStyle w:val="11"/>
                        <w:spacing w:after="0" w:line="240" w:lineRule="auto"/>
                        <w:rPr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noProof/>
                          <w:lang w:val="ru-RU" w:eastAsia="ru-RU" w:bidi="ar-SA"/>
                        </w:rPr>
                        <w:drawing>
                          <wp:inline distT="0" distB="0" distL="0" distR="0" wp14:anchorId="07557C13" wp14:editId="7585A9C2">
                            <wp:extent cx="260350" cy="186055"/>
                            <wp:effectExtent l="0" t="0" r="6350" b="4445"/>
                            <wp:docPr id="16" name="Shape 3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Shape 32"/>
                                    <pic:cNvPicPr/>
                                  </pic:nvPicPr>
                                  <pic:blipFill>
                                    <a:blip r:embed="rId17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60350" cy="186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88" w:name="bookmark123"/>
      <w:r w:rsidR="004D2C53" w:rsidRPr="006B46C7">
        <w:rPr>
          <w:rFonts w:ascii="Times New Roman" w:hAnsi="Times New Roman" w:cs="Times New Roman"/>
          <w:b/>
          <w:bCs/>
          <w:color w:val="1E2E8B"/>
          <w:sz w:val="24"/>
          <w:szCs w:val="24"/>
          <w:lang w:val="ru-RU"/>
        </w:rPr>
        <w:t xml:space="preserve">Рисунок 5 - Наличие </w:t>
      </w:r>
      <w:r w:rsidR="004B6412" w:rsidRPr="006B46C7">
        <w:rPr>
          <w:rFonts w:ascii="Times New Roman" w:hAnsi="Times New Roman" w:cs="Times New Roman"/>
          <w:b/>
          <w:bCs/>
          <w:color w:val="1E2E8B"/>
          <w:sz w:val="24"/>
          <w:szCs w:val="24"/>
          <w:lang w:val="ru-RU"/>
        </w:rPr>
        <w:t xml:space="preserve">официального </w:t>
      </w:r>
      <w:r w:rsidR="004D2C53" w:rsidRPr="006B46C7">
        <w:rPr>
          <w:rFonts w:ascii="Times New Roman" w:hAnsi="Times New Roman" w:cs="Times New Roman"/>
          <w:b/>
          <w:bCs/>
          <w:color w:val="1E2E8B"/>
          <w:sz w:val="24"/>
          <w:szCs w:val="24"/>
          <w:lang w:val="ru-RU"/>
        </w:rPr>
        <w:t>план</w:t>
      </w:r>
      <w:r w:rsidR="004B6412" w:rsidRPr="006B46C7">
        <w:rPr>
          <w:rFonts w:ascii="Times New Roman" w:hAnsi="Times New Roman" w:cs="Times New Roman"/>
          <w:b/>
          <w:bCs/>
          <w:color w:val="1E2E8B"/>
          <w:sz w:val="24"/>
          <w:szCs w:val="24"/>
          <w:lang w:val="ru-RU"/>
        </w:rPr>
        <w:t xml:space="preserve">а проведения учений </w:t>
      </w:r>
      <w:bookmarkEnd w:id="88"/>
    </w:p>
    <w:p w14:paraId="4B120973" w14:textId="3047C3F3" w:rsidR="004B6412" w:rsidRPr="006B46C7" w:rsidRDefault="004B6412" w:rsidP="006B46C7">
      <w:pPr>
        <w:pStyle w:val="11"/>
        <w:spacing w:after="6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b/>
          <w:bCs/>
          <w:noProof/>
          <w:color w:val="1E2E8B"/>
          <w:sz w:val="24"/>
          <w:szCs w:val="24"/>
          <w:lang w:val="ru-RU" w:eastAsia="ru-RU" w:bidi="ar-SA"/>
        </w:rPr>
        <w:drawing>
          <wp:inline distT="0" distB="0" distL="0" distR="0" wp14:anchorId="01291D34" wp14:editId="26709CEF">
            <wp:extent cx="1810480" cy="1646215"/>
            <wp:effectExtent l="0" t="0" r="5715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929" cy="167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</w:t>
      </w:r>
    </w:p>
    <w:p w14:paraId="456C973F" w14:textId="6F0DBF89" w:rsidR="001B0301" w:rsidRPr="006B46C7" w:rsidRDefault="001B0301">
      <w:pPr>
        <w:spacing w:line="1" w:lineRule="exact"/>
        <w:rPr>
          <w:rFonts w:ascii="Times New Roman" w:hAnsi="Times New Roman" w:cs="Times New Roman"/>
          <w:lang w:val="ru-RU"/>
        </w:rPr>
      </w:pPr>
    </w:p>
    <w:p w14:paraId="71F31CA8" w14:textId="6AC4D3F3" w:rsidR="001B0301" w:rsidRPr="006B46C7" w:rsidRDefault="004D2C53">
      <w:pPr>
        <w:pStyle w:val="22"/>
        <w:pBdr>
          <w:bottom w:val="single" w:sz="4" w:space="0" w:color="auto"/>
        </w:pBdr>
        <w:spacing w:after="140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Источник: Опрос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, июнь 2023 г.</w:t>
      </w:r>
    </w:p>
    <w:p w14:paraId="286BC48D" w14:textId="213EA421" w:rsidR="008D385E" w:rsidRPr="006B46C7" w:rsidRDefault="004D2C53">
      <w:pPr>
        <w:pStyle w:val="11"/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*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Примечание: респонденты, не имеющие </w:t>
      </w:r>
      <w:r w:rsidR="00534AAD">
        <w:rPr>
          <w:rFonts w:ascii="Times New Roman" w:hAnsi="Times New Roman" w:cs="Times New Roman"/>
          <w:sz w:val="24"/>
          <w:szCs w:val="24"/>
          <w:lang w:val="ru-RU"/>
        </w:rPr>
        <w:t>официальных</w:t>
      </w:r>
      <w:r w:rsidR="00534AAD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планов </w:t>
      </w:r>
      <w:r w:rsidR="00534AAD">
        <w:rPr>
          <w:rFonts w:ascii="Times New Roman" w:hAnsi="Times New Roman" w:cs="Times New Roman"/>
          <w:sz w:val="24"/>
          <w:szCs w:val="24"/>
          <w:lang w:val="ru-RU"/>
        </w:rPr>
        <w:t>проведения учений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имеют </w:t>
      </w:r>
      <w:r w:rsidR="008D385E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полномочия 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4C130A">
        <w:rPr>
          <w:rFonts w:ascii="Times New Roman" w:hAnsi="Times New Roman" w:cs="Times New Roman"/>
          <w:sz w:val="24"/>
          <w:szCs w:val="24"/>
          <w:lang w:val="ru-RU"/>
        </w:rPr>
        <w:t>Paybox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4C130A" w:rsidRPr="004C130A">
        <w:rPr>
          <w:rFonts w:ascii="Times New Roman" w:hAnsi="Times New Roman" w:cs="Times New Roman"/>
          <w:sz w:val="24"/>
          <w:szCs w:val="24"/>
          <w:lang w:val="ru-RU"/>
        </w:rPr>
        <w:t>Paybox Plus</w:t>
      </w:r>
      <w:r w:rsidR="004E7792" w:rsidRPr="006B46C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14:paraId="169F51E5" w14:textId="514B788B" w:rsidR="001B0301" w:rsidRPr="006B46C7" w:rsidRDefault="004D2C53" w:rsidP="006B0463">
      <w:pPr>
        <w:pStyle w:val="1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Планы </w:t>
      </w:r>
      <w:r w:rsidR="004E7792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учений </w:t>
      </w:r>
      <w:r w:rsidR="00FD5556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зачастую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являются частью корпоративных инициатив и соответствуют корпоративным приоритетам, утвержденным соответствующими советами директоров. Для более чем 64 % респондентов приоритеты тестирования определяются функцией управления рисками предприятия (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ERM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). Эти приоритеты обычно основаны на эволюции текущих и возникающих рисков, организационных приоритетах и инициативах, а также на уровне </w:t>
      </w:r>
      <w:r w:rsidR="006B0463" w:rsidRPr="006B0463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зрелости</w:t>
      </w:r>
      <w:r w:rsidR="006B0463" w:rsidRPr="006B0463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планов и процессов управления кризисными ситуациями.</w:t>
      </w:r>
    </w:p>
    <w:p w14:paraId="79157137" w14:textId="6272F530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Большинство североамериканских и европейских организаций, попавших в выборку, регулярно тестируют несколько ключевых областей, как это рекомендовано соответствующим Основополагающим принципом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предписано руководством Европейского банковского управления по стресс-тестированию для систем </w:t>
      </w:r>
      <w:r w:rsidR="00BF6B4B">
        <w:rPr>
          <w:rFonts w:ascii="Times New Roman" w:hAnsi="Times New Roman" w:cs="Times New Roman"/>
          <w:sz w:val="24"/>
          <w:szCs w:val="24"/>
          <w:lang w:val="ru-RU"/>
        </w:rPr>
        <w:t>страхования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вкладов</w:t>
      </w:r>
      <w:hyperlink w:anchor="bookmark39" w:tooltip="Current Document">
        <w:r w:rsidRPr="006B46C7">
          <w:rPr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40"/>
        </w:r>
      </w:hyperlink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Эти ключевые области включают функции погашения (в том числе возможности финансирования, системы выплат, качество данных и работу колл-центров) и процессы финансового оздоровления и урегулирования несостоятельности (в том числе финансирование, маркетинг обанкротившихся учреждений, анализ и управление активами, коммуникации и координация между членами сети безопасности). За последние два года респонденты опроса также указывали в качестве областей, требующих особого внимания, кибербезопасность, закупки/третьи стороны и непрерывность бизнеса.</w:t>
      </w:r>
    </w:p>
    <w:p w14:paraId="4C848FCB" w14:textId="22E06664" w:rsidR="001B0301" w:rsidRPr="006B46C7" w:rsidRDefault="004D2C53" w:rsidP="006B46C7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Поскольку эффективная координация между органами по урегулированию несостоятельности имеет решающее значение для успешного процесса урегулирования и устойчивости финансовых систем, многие респонденты начали изучать возможности сотрудничества в области тестирования с отечественными и зарубежными органами. В выборке девять (47 %) юрисдикций провели учения с участием своих партнеров по сети безопасности, а шесть (32 %) - с участием внутренних заинтересованных сторон, не входящих в их </w:t>
      </w:r>
      <w:r w:rsidR="00F76555" w:rsidRPr="006B46C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систему финансовой стабильности</w:t>
      </w:r>
      <w:r w:rsidRPr="006B46C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Пример тестирования с участием Министерства финансов можно найти в исследовании </w:t>
      </w:r>
      <w:r w:rsidR="000B540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BFG</w:t>
      </w:r>
      <w:r w:rsidR="00D26EAE" w:rsidRPr="006B46C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Польши</w:t>
      </w:r>
      <w:r w:rsidRPr="006B46C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в разделе</w:t>
      </w:r>
      <w:r w:rsidR="00DC749A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89" w:name="bookmark124"/>
      <w:bookmarkEnd w:id="89"/>
      <w:r w:rsidR="00DC749A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4.2.1.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Пример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приведенный в разделе 4.3.4, демонстрирует важность привлечения партнеров, не входящих в </w:t>
      </w:r>
      <w:r w:rsidR="00F76555" w:rsidRPr="006B46C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систему финансовой стабильности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при тестировании механизма 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6B46C7">
        <w:rPr>
          <w:rFonts w:ascii="Times New Roman" w:hAnsi="Times New Roman" w:cs="Times New Roman"/>
          <w:sz w:val="24"/>
          <w:szCs w:val="24"/>
        </w:rPr>
        <w:t>bail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B46C7">
        <w:rPr>
          <w:rFonts w:ascii="Times New Roman" w:hAnsi="Times New Roman" w:cs="Times New Roman"/>
          <w:sz w:val="24"/>
          <w:szCs w:val="24"/>
        </w:rPr>
        <w:t>in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для системно значимого банка на национальном уровне.</w:t>
      </w:r>
    </w:p>
    <w:p w14:paraId="437CEE47" w14:textId="77777777" w:rsidR="00DC749A" w:rsidRPr="006B46C7" w:rsidRDefault="00DC749A" w:rsidP="006B46C7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8D2ABA" w14:textId="2B1379B4" w:rsidR="001B0301" w:rsidRPr="00EF3434" w:rsidRDefault="004D2C53" w:rsidP="00EF3434">
      <w:pPr>
        <w:pStyle w:val="1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то время как участники </w:t>
      </w:r>
      <w:r w:rsidR="006B0463">
        <w:rPr>
          <w:rFonts w:ascii="Times New Roman" w:hAnsi="Times New Roman" w:cs="Times New Roman"/>
          <w:sz w:val="24"/>
          <w:szCs w:val="24"/>
          <w:lang w:val="ru-RU"/>
        </w:rPr>
        <w:t>проверок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основном находились на внутреннем уровне, семь (37 %) респондентов участвовали в трансграничном моделировании системного банковского кризиса в течение последних пяти </w:t>
      </w:r>
      <w:hyperlink w:anchor="bookmark40" w:tooltip="Current Document">
        <w:r w:rsidRPr="006B46C7">
          <w:rPr>
            <w:rFonts w:ascii="Times New Roman" w:hAnsi="Times New Roman" w:cs="Times New Roman"/>
            <w:sz w:val="24"/>
            <w:szCs w:val="24"/>
            <w:lang w:val="ru-RU"/>
          </w:rPr>
          <w:t>лет</w:t>
        </w:r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41"/>
        </w:r>
      </w:hyperlink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Учения с участием внешних заинтересованных сторон, особенно других органов </w:t>
      </w:r>
      <w:r w:rsidR="00F76555" w:rsidRPr="006B46C7">
        <w:rPr>
          <w:rFonts w:ascii="Times New Roman" w:hAnsi="Times New Roman" w:cs="Times New Roman"/>
          <w:sz w:val="24"/>
          <w:szCs w:val="24"/>
          <w:lang w:val="ru-RU"/>
        </w:rPr>
        <w:t>системы финансовой безопасности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вероятно, будут проводиться все чаще, поскольку все большее внимание уделяется необходимости усиления координации </w:t>
      </w:r>
      <w:r w:rsidRPr="006B46C7">
        <w:rPr>
          <w:rFonts w:ascii="Times New Roman" w:hAnsi="Times New Roman" w:cs="Times New Roman"/>
          <w:sz w:val="24"/>
          <w:szCs w:val="24"/>
        </w:rPr>
        <w:t>ex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B46C7">
        <w:rPr>
          <w:rFonts w:ascii="Times New Roman" w:hAnsi="Times New Roman" w:cs="Times New Roman"/>
          <w:sz w:val="24"/>
          <w:szCs w:val="24"/>
        </w:rPr>
        <w:t>ante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особенно при управлении системным риском. Такие учения должны быть не единичными мероприятиями, а частью постоянной работы органов власти и отрасли. В документе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об извлеченных уроках координация системы поддержания финансовой стабильности и трансграничное сотрудничество рассматриваются как области для дальнейшего изучения. Будущий обзор будет включать в себя предварительные условия для эффективного сотрудничества и координации как в обычных, так и в кризисных сценариях, включая тестирование готовности к кризисному управлению и проведение совместных имитационных </w:t>
      </w:r>
      <w:hyperlink w:anchor="bookmark41" w:tooltip="Current Document">
        <w:proofErr w:type="gramStart"/>
        <w:r w:rsidRPr="006B46C7">
          <w:rPr>
            <w:rFonts w:ascii="Times New Roman" w:hAnsi="Times New Roman" w:cs="Times New Roman"/>
            <w:sz w:val="24"/>
            <w:szCs w:val="24"/>
            <w:lang w:val="ru-RU"/>
          </w:rPr>
          <w:t xml:space="preserve">учений </w:t>
        </w:r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42"/>
        </w:r>
      </w:hyperlink>
      <w:r w:rsidR="00EF3434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14:paraId="06ACDC18" w14:textId="21429AE9" w:rsidR="001B0301" w:rsidRPr="006B46C7" w:rsidRDefault="004D2C53" w:rsidP="00EF3434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При реализации программ тестирования основные проблемы, с которыми столкнулись респонденты, были связаны с балансом времени, выделенного на проведение учений, с учетом конкурирующих требований по другим приоритетам, а также с наличием ресурсов, таких как внутренние и внешние эксперты и лица, принимающие решения. Это наблюдение подчеркивает важность заблаговременной подготовки и поддержки со стороны высшего руководства и всех соответствующих бизнес-подразделений. Сорок четыре процента респондентов также назвали усталость от симуляций потенциальным источником беспокойства, поскольку слишком частое или </w:t>
      </w:r>
      <w:r w:rsidR="00EF3434">
        <w:rPr>
          <w:rFonts w:ascii="Times New Roman" w:hAnsi="Times New Roman" w:cs="Times New Roman"/>
          <w:sz w:val="24"/>
          <w:szCs w:val="24"/>
          <w:lang w:val="ru-RU"/>
        </w:rPr>
        <w:t>не вовремя запланированное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тестирование может снизить уровень вовлеченности и заинтересованности в будущем. Поэтому важно, чтобы содержание и объем планов тестирования соответствовали текущим возможностям, ресурсам и потребностям организации.</w:t>
      </w:r>
    </w:p>
    <w:p w14:paraId="308432E0" w14:textId="69B0003D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ходе опроса также изучался этап отчётности и обратной связи, чтобы понять, как организации измеряют и оценивают эффективность своих программ тестирования - тема, которая ещё не была изучена. Ответы показали, что оценка возврата инвестиций в тестирование для большинства является сложной задачей. Хотя респонденты не имеют количественных показателей для оценки своей программы, некоторые из них сообщили, что в качестве доказательства успеха используют обсуждения и отзывы после завершения программы, а также улучшения в политике и процедурах.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FDIC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традиционно оценивают мероприятия, исходя из того, были ли достигнуты ключевые цели, определенные до проведения мероприятия. Это </w:t>
      </w:r>
      <w:r w:rsidR="00DC749A" w:rsidRPr="006B46C7">
        <w:rPr>
          <w:rFonts w:ascii="Times New Roman" w:hAnsi="Times New Roman" w:cs="Times New Roman"/>
          <w:sz w:val="24"/>
          <w:szCs w:val="24"/>
          <w:lang w:val="ru-RU"/>
        </w:rPr>
        <w:t>свидетельствует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о том, что страховщикам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следует учитывать сочетание количественных показателей (таких как доля участников, количество пунктов действий и т. д.) и качественных данных (отзывы, опрос после учений и т. д.) для выявления и улучшения проблем в процессе тестирования.</w:t>
      </w:r>
    </w:p>
    <w:p w14:paraId="5AA09104" w14:textId="16B84899" w:rsidR="00D65CFF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D65CFF" w:rsidRPr="006B46C7">
          <w:type w:val="continuous"/>
          <w:pgSz w:w="12240" w:h="15840"/>
          <w:pgMar w:top="871" w:right="1548" w:bottom="709" w:left="1544" w:header="0" w:footer="3" w:gutter="0"/>
          <w:cols w:space="720"/>
          <w:noEndnote/>
          <w:docGrid w:linePitch="360"/>
          <w15:footnoteColumns w:val="1"/>
        </w:sect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Степень участия страховщика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тестировании зависит от его </w:t>
      </w:r>
      <w:r w:rsidR="00EF3434">
        <w:rPr>
          <w:rFonts w:ascii="Times New Roman" w:hAnsi="Times New Roman" w:cs="Times New Roman"/>
          <w:sz w:val="24"/>
          <w:szCs w:val="24"/>
          <w:lang w:val="ru-RU"/>
        </w:rPr>
        <w:t>мандата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и те, кто имеет </w:t>
      </w:r>
      <w:r w:rsidR="00EF3434">
        <w:rPr>
          <w:rFonts w:ascii="Times New Roman" w:hAnsi="Times New Roman" w:cs="Times New Roman"/>
          <w:sz w:val="24"/>
          <w:szCs w:val="24"/>
          <w:lang w:val="ru-RU"/>
        </w:rPr>
        <w:t>мандат</w:t>
      </w:r>
      <w:r w:rsidR="006E408A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3434">
        <w:rPr>
          <w:rFonts w:ascii="Times New Roman" w:hAnsi="Times New Roman" w:cs="Times New Roman"/>
          <w:sz w:val="24"/>
          <w:szCs w:val="24"/>
        </w:rPr>
        <w:t>Loss</w:t>
      </w:r>
      <w:r w:rsidR="00EF3434" w:rsidRPr="00EF34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3434">
        <w:rPr>
          <w:rFonts w:ascii="Times New Roman" w:hAnsi="Times New Roman" w:cs="Times New Roman"/>
          <w:sz w:val="24"/>
          <w:szCs w:val="24"/>
        </w:rPr>
        <w:t>Minimiser</w:t>
      </w:r>
      <w:r w:rsidR="00EF3434" w:rsidRPr="00EF34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3434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="00EF3434">
        <w:rPr>
          <w:rFonts w:ascii="Times New Roman" w:hAnsi="Times New Roman" w:cs="Times New Roman"/>
          <w:sz w:val="24"/>
          <w:szCs w:val="24"/>
        </w:rPr>
        <w:t>Risk</w:t>
      </w:r>
      <w:r w:rsidR="00EF3434" w:rsidRPr="00EF34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3434">
        <w:rPr>
          <w:rFonts w:ascii="Times New Roman" w:hAnsi="Times New Roman" w:cs="Times New Roman"/>
          <w:sz w:val="24"/>
          <w:szCs w:val="24"/>
        </w:rPr>
        <w:t>Minimiser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зачастую имеют более развитую программу </w:t>
      </w:r>
      <w:r w:rsidR="009542E6" w:rsidRPr="006B46C7">
        <w:rPr>
          <w:rFonts w:ascii="Times New Roman" w:hAnsi="Times New Roman" w:cs="Times New Roman"/>
          <w:sz w:val="24"/>
          <w:szCs w:val="24"/>
          <w:lang w:val="ru-RU"/>
        </w:rPr>
        <w:t>учений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Однако в связи с развитием экономической среды, финансового регулирования и инструментов урегулирования несостоятельности моделирование кризисных ситуаций все чаще становится предметом интереса страховщиков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F76555" w:rsidRPr="006B46C7">
        <w:rPr>
          <w:rFonts w:ascii="Times New Roman" w:hAnsi="Times New Roman" w:cs="Times New Roman"/>
          <w:sz w:val="24"/>
          <w:szCs w:val="24"/>
          <w:lang w:val="ru-RU"/>
        </w:rPr>
        <w:t>членов сети финансовой стабильности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во многих регионах мира. В примере </w:t>
      </w:r>
      <w:r w:rsidR="00EF3434">
        <w:rPr>
          <w:rFonts w:ascii="Times New Roman" w:hAnsi="Times New Roman" w:cs="Times New Roman"/>
          <w:sz w:val="24"/>
          <w:szCs w:val="24"/>
        </w:rPr>
        <w:t>PIDM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показано, как организация успешно внедрила прогрессивную программу тестирования, следуя своей организационной зрелости.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CE837E5" w14:textId="1C789D8A" w:rsidR="001B0301" w:rsidRPr="00EF3434" w:rsidRDefault="004D2C53" w:rsidP="006B46C7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color w:val="1E2E8B"/>
          <w:sz w:val="24"/>
          <w:szCs w:val="24"/>
          <w:lang w:val="ru-RU"/>
        </w:rPr>
        <w:t xml:space="preserve">Пример </w:t>
      </w:r>
      <w:r w:rsidR="00EF3434">
        <w:rPr>
          <w:rFonts w:ascii="Times New Roman" w:hAnsi="Times New Roman" w:cs="Times New Roman"/>
          <w:color w:val="1E2E8B"/>
          <w:sz w:val="24"/>
          <w:szCs w:val="24"/>
        </w:rPr>
        <w:t>PIDM</w:t>
      </w:r>
      <w:r w:rsidR="00EF3434">
        <w:rPr>
          <w:rFonts w:ascii="Times New Roman" w:hAnsi="Times New Roman" w:cs="Times New Roman"/>
          <w:color w:val="1E2E8B"/>
          <w:sz w:val="24"/>
          <w:szCs w:val="24"/>
          <w:lang w:val="ru-RU"/>
        </w:rPr>
        <w:t xml:space="preserve"> (Малайзия)</w:t>
      </w:r>
    </w:p>
    <w:p w14:paraId="53B5262E" w14:textId="77777777" w:rsidR="001B0301" w:rsidRPr="006B46C7" w:rsidRDefault="004D2C53" w:rsidP="00103344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>Эволюционный и поэтапный подход</w:t>
      </w:r>
    </w:p>
    <w:p w14:paraId="67869251" w14:textId="4164B52A" w:rsidR="001B0301" w:rsidRPr="006B46C7" w:rsidRDefault="00EF3434" w:rsidP="00D65CFF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PIDM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наращивает свой потенциал реагирования на кризисы с момента своего создания в 2005 году. Наращивание потенциала развивалось от проведения ежегодных внутренних симуляционных учений с 2010 года до недавнего времени. С 2020 года стратегия </w:t>
      </w:r>
      <w:r w:rsidRPr="00EF3434">
        <w:rPr>
          <w:rFonts w:ascii="Times New Roman" w:hAnsi="Times New Roman" w:cs="Times New Roman"/>
          <w:sz w:val="24"/>
          <w:szCs w:val="24"/>
          <w:lang w:val="ru-RU"/>
        </w:rPr>
        <w:t xml:space="preserve">PIDM 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направлена на достижение 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готовности к сотрудничеству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. В связи с этим в программы тестирования стали вовлекаться внешние заинтересованные стороны из органов системы поддержания финансовой стабильности (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СПФС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). Поскольку у </w:t>
      </w:r>
      <w:r w:rsidRPr="00EF3434">
        <w:rPr>
          <w:rFonts w:ascii="Times New Roman" w:hAnsi="Times New Roman" w:cs="Times New Roman"/>
          <w:sz w:val="24"/>
          <w:szCs w:val="24"/>
          <w:lang w:val="ru-RU"/>
        </w:rPr>
        <w:t xml:space="preserve">PIDM 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еще нет опыта работы с реальными </w:t>
      </w:r>
      <w:r>
        <w:rPr>
          <w:rFonts w:ascii="Times New Roman" w:hAnsi="Times New Roman" w:cs="Times New Roman"/>
          <w:sz w:val="24"/>
          <w:szCs w:val="24"/>
          <w:lang w:val="ru-RU"/>
        </w:rPr>
        <w:t>страховыми слчаями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EF3434">
        <w:rPr>
          <w:rFonts w:ascii="Times New Roman" w:hAnsi="Times New Roman" w:cs="Times New Roman"/>
          <w:sz w:val="24"/>
          <w:szCs w:val="24"/>
          <w:lang w:val="ru-RU"/>
        </w:rPr>
        <w:t xml:space="preserve">PIDM 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позаботил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сь о том, чтобы разработка программ тестирования и сценариев была надежной и максимально реалистичной. </w:t>
      </w:r>
      <w:r w:rsidRPr="00EF3434">
        <w:rPr>
          <w:rFonts w:ascii="Times New Roman" w:hAnsi="Times New Roman" w:cs="Times New Roman"/>
          <w:sz w:val="24"/>
          <w:szCs w:val="24"/>
          <w:lang w:val="ru-RU"/>
        </w:rPr>
        <w:t xml:space="preserve">PIDM 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использовала уроки, извлеченные из </w:t>
      </w:r>
      <w:r>
        <w:rPr>
          <w:rFonts w:ascii="Times New Roman" w:hAnsi="Times New Roman" w:cs="Times New Roman"/>
          <w:sz w:val="24"/>
          <w:szCs w:val="24"/>
          <w:lang w:val="ru-RU"/>
        </w:rPr>
        <w:t>схожих случаев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других юрисдикциях, и </w:t>
      </w:r>
      <w:r>
        <w:rPr>
          <w:rFonts w:ascii="Times New Roman" w:hAnsi="Times New Roman" w:cs="Times New Roman"/>
          <w:sz w:val="24"/>
          <w:szCs w:val="24"/>
          <w:lang w:val="ru-RU"/>
        </w:rPr>
        <w:t>изучала опыт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орган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власти, которые уже сталкивались с</w:t>
      </w:r>
      <w:r>
        <w:rPr>
          <w:rFonts w:ascii="Times New Roman" w:hAnsi="Times New Roman" w:cs="Times New Roman"/>
          <w:sz w:val="24"/>
          <w:szCs w:val="24"/>
          <w:lang w:val="ru-RU"/>
        </w:rPr>
        <w:t>о страховыми случаями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Кроме того, при разработке сценариев были учтены некоторые особенности малазийской банковской системы, чтобы обеспечить постоянную готовность </w:t>
      </w:r>
      <w:r w:rsidRPr="00EF3434">
        <w:rPr>
          <w:rFonts w:ascii="Times New Roman" w:hAnsi="Times New Roman" w:cs="Times New Roman"/>
          <w:sz w:val="24"/>
          <w:szCs w:val="24"/>
          <w:lang w:val="ru-RU"/>
        </w:rPr>
        <w:t xml:space="preserve">PIDM 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к потенциальным кризисным сценариям и укрепить уверенность в себе.</w:t>
      </w:r>
    </w:p>
    <w:p w14:paraId="30A824F0" w14:textId="5BBA0299" w:rsidR="001B0301" w:rsidRPr="006B46C7" w:rsidRDefault="004D2C53" w:rsidP="006B46C7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дополнение к эволюционному подходу к расширению возможностей </w:t>
      </w:r>
      <w:r w:rsidR="00EF3434" w:rsidRPr="00EF3434">
        <w:rPr>
          <w:rFonts w:ascii="Times New Roman" w:hAnsi="Times New Roman" w:cs="Times New Roman"/>
          <w:sz w:val="24"/>
          <w:szCs w:val="24"/>
          <w:lang w:val="ru-RU"/>
        </w:rPr>
        <w:t xml:space="preserve">PIDM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по реагированию на кризисы, </w:t>
      </w:r>
      <w:r w:rsidR="00EF3434" w:rsidRPr="00EF3434">
        <w:rPr>
          <w:rFonts w:ascii="Times New Roman" w:hAnsi="Times New Roman" w:cs="Times New Roman"/>
          <w:sz w:val="24"/>
          <w:szCs w:val="24"/>
          <w:lang w:val="ru-RU"/>
        </w:rPr>
        <w:t xml:space="preserve">PIDM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расширила ресурсы для контроля за вопросами, связанными с управлением кризисами. Специальное подразделение по моделированию, созданное в 2021 году, в 2022 году было преобразовано в новый </w:t>
      </w:r>
      <w:r w:rsidR="00E56388">
        <w:rPr>
          <w:rFonts w:ascii="Times New Roman" w:hAnsi="Times New Roman" w:cs="Times New Roman"/>
          <w:sz w:val="24"/>
          <w:szCs w:val="24"/>
          <w:lang w:val="ru-RU"/>
        </w:rPr>
        <w:t>Отдел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кризисного управления (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CMD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 с дополнительными ресурсами и расширенной ролью. Теперь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CMD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оказывает поддержку команде </w:t>
      </w:r>
      <w:r w:rsidR="00EF3434" w:rsidRPr="00EF3434">
        <w:rPr>
          <w:rFonts w:ascii="Times New Roman" w:hAnsi="Times New Roman" w:cs="Times New Roman"/>
          <w:sz w:val="24"/>
          <w:szCs w:val="24"/>
          <w:lang w:val="ru-RU"/>
        </w:rPr>
        <w:t xml:space="preserve">PIDM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по управлению кризисами в подготовке к потенциальным кризисным сценариям и реагировании на них.</w:t>
      </w:r>
    </w:p>
    <w:p w14:paraId="18F8777E" w14:textId="77777777" w:rsidR="00103344" w:rsidRPr="006B46C7" w:rsidRDefault="00103344" w:rsidP="006B46C7">
      <w:pPr>
        <w:pStyle w:val="11"/>
        <w:spacing w:after="0"/>
        <w:ind w:firstLine="30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D9DDA2A" w14:textId="17C5C3E2" w:rsidR="001B0301" w:rsidRPr="006B46C7" w:rsidRDefault="004D2C53" w:rsidP="006B46C7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Обеспечение эффективного управления и реализации</w:t>
      </w:r>
    </w:p>
    <w:p w14:paraId="6BC741F7" w14:textId="515E41D6" w:rsidR="001B0301" w:rsidRPr="006B46C7" w:rsidRDefault="004D2C53" w:rsidP="006B46C7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тестирования готовности к кризисным ситуациям и управления ими, включая бюджет, контролируется Исполнительным комитетом и ежегодно утверждается Советом директоров в рамках корпоративного плана </w:t>
      </w:r>
      <w:r w:rsidR="00EF3434" w:rsidRPr="00EF3434">
        <w:rPr>
          <w:rFonts w:ascii="Times New Roman" w:hAnsi="Times New Roman" w:cs="Times New Roman"/>
          <w:sz w:val="24"/>
          <w:szCs w:val="24"/>
          <w:lang w:val="ru-RU"/>
        </w:rPr>
        <w:t>PIDM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Компоненты программы имитационного моделирования также зависят от корпоративных рисков </w:t>
      </w:r>
      <w:r w:rsidR="00EF3434" w:rsidRPr="00EF3434">
        <w:rPr>
          <w:rFonts w:ascii="Times New Roman" w:hAnsi="Times New Roman" w:cs="Times New Roman"/>
          <w:sz w:val="24"/>
          <w:szCs w:val="24"/>
          <w:lang w:val="ru-RU"/>
        </w:rPr>
        <w:t>PIDM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Таким образом, стратегии подготовки к кризисам и тестирования управления встроены в процессы стратегического планирования, финансового управления и управления рисками </w:t>
      </w:r>
      <w:r w:rsidR="00EF3434" w:rsidRPr="00EF3434">
        <w:rPr>
          <w:rFonts w:ascii="Times New Roman" w:hAnsi="Times New Roman" w:cs="Times New Roman"/>
          <w:sz w:val="24"/>
          <w:szCs w:val="24"/>
          <w:lang w:val="ru-RU"/>
        </w:rPr>
        <w:t>PIDM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что, в свою очередь, обеспечивает четкое руководство и поддержку со стороны руководителей, а также рабочих групп в рамках всей организации. Очень важно, что общая согласованность с корпоративными планами </w:t>
      </w:r>
      <w:r w:rsidR="00EF3434" w:rsidRPr="00EF3434">
        <w:rPr>
          <w:rFonts w:ascii="Times New Roman" w:hAnsi="Times New Roman" w:cs="Times New Roman"/>
          <w:sz w:val="24"/>
          <w:szCs w:val="24"/>
          <w:lang w:val="ru-RU"/>
        </w:rPr>
        <w:t xml:space="preserve">PIDM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также обеспечивает хороший темп и устойчивость тестирования, что сводит к минимуму 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усталость от симуляций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63A9039" w14:textId="1F4565B9" w:rsidR="001B0301" w:rsidRPr="006B46C7" w:rsidRDefault="004D2C53" w:rsidP="006B46C7">
      <w:pPr>
        <w:pStyle w:val="11"/>
        <w:spacing w:after="5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>В то время как</w:t>
      </w:r>
      <w:r w:rsidR="000E10D6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CMD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возглавляет работу по урегулированию несостоятельности и межведомственному моделированию, другие конкретные области тестирования находятся в ведении </w:t>
      </w:r>
      <w:r w:rsidR="00EF3434">
        <w:rPr>
          <w:rFonts w:ascii="Times New Roman" w:hAnsi="Times New Roman" w:cs="Times New Roman"/>
          <w:sz w:val="24"/>
          <w:szCs w:val="24"/>
          <w:lang w:val="ru-RU"/>
        </w:rPr>
        <w:t xml:space="preserve">иных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функциональных подразделений, например, учения по кибербезопасности - в ведении Департамента управления информацией и безопасностью или тестирование выплат </w:t>
      </w:r>
      <w:r w:rsidR="00E5638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ведении Департамента выплат страхового возмещения, реализации и ликвидации. В этих случаях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CMD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участвует в работе в составе организационной группы или в качестве наблюдателя. Там, где это возможно, сотрудники других участников </w:t>
      </w:r>
      <w:r w:rsidR="00EF3434">
        <w:rPr>
          <w:rFonts w:ascii="Times New Roman" w:hAnsi="Times New Roman" w:cs="Times New Roman"/>
          <w:sz w:val="24"/>
          <w:szCs w:val="24"/>
          <w:lang w:val="ru-RU"/>
        </w:rPr>
        <w:t>СПФС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будут входить в состав организационной группы межведомственных имитационных учений. Учения, проводимые при поддержке поставщиков услуг, также способствуют повышению их готовности к оказанию поддержки </w:t>
      </w:r>
      <w:r w:rsidR="00EF3434">
        <w:rPr>
          <w:rFonts w:ascii="Times New Roman" w:hAnsi="Times New Roman" w:cs="Times New Roman"/>
          <w:sz w:val="24"/>
          <w:szCs w:val="24"/>
        </w:rPr>
        <w:t>PIDM</w:t>
      </w:r>
      <w:r w:rsidR="00EF3434" w:rsidRPr="00EF34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в ходе урегулирования несостоятельности.</w:t>
      </w:r>
    </w:p>
    <w:p w14:paraId="1FBBBF57" w14:textId="77777777" w:rsidR="001B0301" w:rsidRPr="006B46C7" w:rsidRDefault="004D2C53" w:rsidP="006B46C7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Обеспечение надежной и реалистичной программы тестирования</w:t>
      </w:r>
    </w:p>
    <w:p w14:paraId="151E595C" w14:textId="5566445A" w:rsidR="001B0301" w:rsidRPr="006B46C7" w:rsidRDefault="004D2C53" w:rsidP="006B46C7">
      <w:pPr>
        <w:pStyle w:val="11"/>
        <w:pBdr>
          <w:bottom w:val="single" w:sz="4" w:space="0" w:color="auto"/>
        </w:pBdr>
        <w:tabs>
          <w:tab w:val="left" w:pos="101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При разработке и планировании программы тестирования </w:t>
      </w:r>
      <w:r w:rsidR="00EF3434" w:rsidRPr="00EF3434">
        <w:rPr>
          <w:rFonts w:ascii="Times New Roman" w:hAnsi="Times New Roman" w:cs="Times New Roman"/>
          <w:sz w:val="24"/>
          <w:szCs w:val="24"/>
          <w:lang w:val="ru-RU"/>
        </w:rPr>
        <w:t xml:space="preserve">PIDM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балансирует между общими целями и конкретными направлениями в зависимости от участвующих сторон. К числу ключевых факторов, которые учитывает </w:t>
      </w:r>
      <w:r w:rsidR="00EF3434" w:rsidRPr="00EF3434">
        <w:rPr>
          <w:rFonts w:ascii="Times New Roman" w:hAnsi="Times New Roman" w:cs="Times New Roman"/>
          <w:sz w:val="24"/>
          <w:szCs w:val="24"/>
          <w:lang w:val="ru-RU"/>
        </w:rPr>
        <w:t>PIDM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, относятся:</w:t>
      </w:r>
      <w:r w:rsidR="000E10D6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92" w:name="bookmark125"/>
      <w:bookmarkEnd w:id="92"/>
      <w:r w:rsidRPr="006B46C7">
        <w:rPr>
          <w:rFonts w:ascii="Times New Roman" w:hAnsi="Times New Roman" w:cs="Times New Roman"/>
          <w:sz w:val="24"/>
          <w:szCs w:val="24"/>
          <w:lang w:val="ru-RU"/>
        </w:rPr>
        <w:t>протоколы координации тестирования по сравнению с техническими возможностями</w:t>
      </w:r>
      <w:r w:rsidR="000E10D6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bookmarkStart w:id="93" w:name="bookmark126"/>
      <w:bookmarkEnd w:id="93"/>
      <w:r w:rsidRPr="006B46C7">
        <w:rPr>
          <w:rFonts w:ascii="Times New Roman" w:hAnsi="Times New Roman" w:cs="Times New Roman"/>
          <w:sz w:val="24"/>
          <w:szCs w:val="24"/>
          <w:lang w:val="ru-RU"/>
        </w:rPr>
        <w:t>процессы тестирования в сравнении с принятием решений</w:t>
      </w:r>
      <w:r w:rsidR="000E10D6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тестирование внутренних игроков (уровень руководства/совета директоров) и внешних игроков (межведомственные</w:t>
      </w:r>
      <w:r w:rsidR="00D65CFF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игроки, промышленность, поставщики услуг)</w:t>
      </w:r>
      <w:r w:rsidR="000E10D6" w:rsidRPr="006B46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856C96E" w14:textId="77777777" w:rsidR="001B0301" w:rsidRPr="006B46C7" w:rsidRDefault="004D2C53" w:rsidP="00D65CFF">
      <w:pPr>
        <w:pStyle w:val="11"/>
        <w:spacing w:after="100"/>
        <w:ind w:firstLine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>Тестирование протоколов и процессов внутренней координации может включать тестирование установленной матрицы полномочий или кризисных контрольных списков, в то время как межведомственная координация может включать тестирование протоколов/правил, предусмотренных в межведомственном пакете. Тестирование технических возможностей или принятия решений включает проверку внутренней системы принятия решений, в то время как принятие межведомственных решений может быть проверено на основе соглашений и планов по урегулированию несостоятельности Группы кризисного управления.</w:t>
      </w:r>
    </w:p>
    <w:p w14:paraId="447A64D7" w14:textId="24E8AB71" w:rsidR="001B0301" w:rsidRPr="006B46C7" w:rsidRDefault="004D2C53" w:rsidP="00D65CFF">
      <w:pPr>
        <w:pStyle w:val="11"/>
        <w:spacing w:after="520"/>
        <w:ind w:firstLine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0E10D6" w:rsidRPr="006B46C7">
        <w:rPr>
          <w:rFonts w:ascii="Times New Roman" w:hAnsi="Times New Roman" w:cs="Times New Roman"/>
          <w:sz w:val="24"/>
          <w:szCs w:val="24"/>
          <w:lang w:val="ru-RU"/>
        </w:rPr>
        <w:t>итоге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выбор плана и масштаба </w:t>
      </w:r>
      <w:r w:rsidR="004B2F0B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учения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будет основываться на приоритетах, возникающих рисках, проблемах и стратегических направлениях на данный период.</w:t>
      </w:r>
    </w:p>
    <w:p w14:paraId="267B6AD1" w14:textId="4072B3CC" w:rsidR="001B0301" w:rsidRPr="006B46C7" w:rsidRDefault="00EF3434" w:rsidP="006B46C7">
      <w:pPr>
        <w:pStyle w:val="11"/>
        <w:spacing w:after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Обнаруженные вызовы</w:t>
      </w:r>
    </w:p>
    <w:p w14:paraId="67BD9E2D" w14:textId="77777777" w:rsidR="001B0301" w:rsidRPr="006B46C7" w:rsidRDefault="004D2C53" w:rsidP="006B46C7">
      <w:pPr>
        <w:pStyle w:val="11"/>
        <w:spacing w:after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>Эффективная координация сроков и организация ресурсов с учетом конкурирующих требований со стороны других корпоративных приоритетов</w:t>
      </w:r>
    </w:p>
    <w:p w14:paraId="706A24C6" w14:textId="7C9D2E06" w:rsidR="001B0301" w:rsidRPr="006B46C7" w:rsidRDefault="004D2C53" w:rsidP="006B46C7">
      <w:pPr>
        <w:pStyle w:val="11"/>
        <w:spacing w:after="100" w:line="26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При реализации программ тестирования одной из практических задач было обеспечение более эффективной координации сроков и организации ресурсов в условиях конкурирующих требований со стороны других корпоративных приоритетов. В течение первого года, когда в </w:t>
      </w:r>
      <w:r w:rsidR="00EF3434" w:rsidRPr="00EF3434">
        <w:rPr>
          <w:rFonts w:ascii="Times New Roman" w:hAnsi="Times New Roman" w:cs="Times New Roman"/>
          <w:sz w:val="24"/>
          <w:szCs w:val="24"/>
          <w:lang w:val="ru-RU"/>
        </w:rPr>
        <w:t xml:space="preserve">PIDM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была создана специальная группа, в ее отделе имитационного моделирования было всего два </w:t>
      </w:r>
      <w:hyperlink w:anchor="bookmark127" w:tooltip="Current Document">
        <w:r w:rsidR="00EF3434">
          <w:rPr>
            <w:rFonts w:ascii="Times New Roman" w:hAnsi="Times New Roman" w:cs="Times New Roman"/>
            <w:sz w:val="24"/>
            <w:szCs w:val="24"/>
            <w:lang w:val="ru-RU"/>
          </w:rPr>
          <w:t>сотрудника</w:t>
        </w:r>
        <w:r w:rsidR="00103344" w:rsidRPr="006B46C7">
          <w:rPr>
            <w:rStyle w:val="af2"/>
            <w:rFonts w:ascii="Times New Roman" w:hAnsi="Times New Roman" w:cs="Times New Roman"/>
            <w:sz w:val="24"/>
            <w:szCs w:val="24"/>
            <w:lang w:val="ru-RU"/>
          </w:rPr>
          <w:footnoteReference w:id="43"/>
        </w:r>
        <w:r w:rsidR="00EF3434">
          <w:rPr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6B46C7">
          <w:rPr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</w:hyperlink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Крупные мероприятия, такие как межведомственное моделирование, требовали привлечения широкой межфункциональной команды, в том числе из отдела вмешательства и урегулирования несостоятельности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CMD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, а также членов офиса по управлению проектами. Небольшие внутренние учения полностью проводились силами подразделения при поддержке внешнего консультанта.</w:t>
      </w:r>
    </w:p>
    <w:p w14:paraId="3311A682" w14:textId="3E352169" w:rsidR="001B0301" w:rsidRPr="006B46C7" w:rsidRDefault="004D2C53" w:rsidP="006B46C7">
      <w:pPr>
        <w:pStyle w:val="11"/>
        <w:spacing w:after="5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проблемы, связанные с людскими ресурсами, включали в себя обеспечение присутствия старших должностных лиц и лиц, принимающих решения, а также технических экспертов. Например, крупномасштабные межведомственные имитационные учения включали в себя пробный вариант, в котором участвовал совсем другой состав участников, чем в реальном мероприятии. Перед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CMD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стояла задача найти подходящих участников, обладающих достаточным опытом и знаниями для достижения стратегических целей испытаний.</w:t>
      </w:r>
    </w:p>
    <w:p w14:paraId="472D9654" w14:textId="77777777" w:rsidR="001B0301" w:rsidRPr="006B46C7" w:rsidRDefault="004D2C53" w:rsidP="006B46C7">
      <w:pPr>
        <w:pStyle w:val="11"/>
        <w:spacing w:after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>Оценка успеха программ тестирования</w:t>
      </w:r>
    </w:p>
    <w:p w14:paraId="3AECEAD5" w14:textId="41D6EE77" w:rsidR="001B0301" w:rsidRPr="00506991" w:rsidRDefault="004D2C53" w:rsidP="006B46C7">
      <w:pPr>
        <w:pStyle w:val="11"/>
        <w:pBdr>
          <w:bottom w:val="single" w:sz="4" w:space="0" w:color="auto"/>
        </w:pBdr>
        <w:spacing w:after="7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Еще одной ключевой задачей было измерение успешности программ тестирования. Для этого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CMD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учитывает несколько качественных факторов. Во-первых, это проведение симуляций, включая реакцию участников на различные сценарии, надежность и прозрачность обсуждений, а также возможность развертывания информации и материалов (например, шаблонов кризисных коммуникаций). В случае межведомственных симуляций откровенный обмен мнениями между сотрудниками соответствующих ведомств способствовал укреплению отношений. Кроме того, достижением стало осознание различий в мандатах, областей для сотрудничества и пробелов, которые необходимо устранить в рамках соответствующих ведомств и на коллективной основе (например, межведомственный кризисный справочник, совместная координация и рабочие договоренности). Еще одним показателем успеха является постепенное совершенствование соответствующих политик и процедур. В результате выявления недостатков и уроков, извлеченных из нескольких учений, практика планирования и проведения мероприятий по управлению кризисными ситуациями в </w:t>
      </w:r>
      <w:r w:rsidR="00506991">
        <w:rPr>
          <w:rFonts w:ascii="Times New Roman" w:hAnsi="Times New Roman" w:cs="Times New Roman"/>
          <w:sz w:val="24"/>
          <w:szCs w:val="24"/>
        </w:rPr>
        <w:t>PIDM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со временем стала более надежной. И наконец, </w:t>
      </w:r>
      <w:r w:rsidR="00506991">
        <w:rPr>
          <w:rFonts w:ascii="Times New Roman" w:hAnsi="Times New Roman" w:cs="Times New Roman"/>
          <w:sz w:val="24"/>
          <w:szCs w:val="24"/>
          <w:lang w:val="ru-RU"/>
        </w:rPr>
        <w:t xml:space="preserve">проведение симуляций и инициативы по проведению тестирований стали эффективным решением для управленческих рисков, с которыми сталкивается </w:t>
      </w:r>
      <w:r w:rsidR="00506991">
        <w:rPr>
          <w:rFonts w:ascii="Times New Roman" w:hAnsi="Times New Roman" w:cs="Times New Roman"/>
          <w:sz w:val="24"/>
          <w:szCs w:val="24"/>
        </w:rPr>
        <w:t>PIDM</w:t>
      </w:r>
      <w:r w:rsidR="0050699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3CC7076" w14:textId="33541C4D" w:rsidR="001B0301" w:rsidRPr="006B46C7" w:rsidRDefault="00D65CFF" w:rsidP="006B46C7">
      <w:pPr>
        <w:pStyle w:val="11"/>
        <w:spacing w:after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4" w:name="bookmark128"/>
      <w:bookmarkEnd w:id="94"/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Выводы</w:t>
      </w:r>
      <w:r w:rsidR="004D2C53"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сформированные </w:t>
      </w:r>
      <w:r w:rsidR="004D2C53"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из опыта </w:t>
      </w: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составления </w:t>
      </w:r>
      <w:r w:rsidR="004D2C53"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программ тестирования</w:t>
      </w:r>
    </w:p>
    <w:p w14:paraId="350341D9" w14:textId="68FA5281" w:rsidR="001B0301" w:rsidRPr="006B46C7" w:rsidRDefault="004D2C53" w:rsidP="00D65CFF">
      <w:pPr>
        <w:pStyle w:val="11"/>
        <w:spacing w:after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Есть несколько уроков, которые можно извлечь из </w:t>
      </w:r>
      <w:r w:rsidR="00506991">
        <w:rPr>
          <w:rFonts w:ascii="Times New Roman" w:hAnsi="Times New Roman" w:cs="Times New Roman"/>
          <w:sz w:val="24"/>
          <w:szCs w:val="24"/>
          <w:lang w:val="ru-RU"/>
        </w:rPr>
        <w:t>опыта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6991">
        <w:rPr>
          <w:rFonts w:ascii="Times New Roman" w:hAnsi="Times New Roman" w:cs="Times New Roman"/>
          <w:sz w:val="24"/>
          <w:szCs w:val="24"/>
        </w:rPr>
        <w:t>PIDM</w:t>
      </w:r>
      <w:r w:rsidR="00506991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по расширению масштабов работы в области имитационного моделирования за последние несколько лет. Во-первых, важно создать внутреннюю специальную группу с достаточным штатом сотрудников и четко определенными рамками для организации программы тестирования. Кроме того, необходимо четко разграничить области тестирования, выполняемые как централизованной службой, так и другими подразделениями, в зависимости от темы и требований (например, старшинство лиц, принимающих решения, и участников, внутренняя или внешняя ориентация на игроков системы поддержания финансовой стабильности или отрасли).</w:t>
      </w:r>
    </w:p>
    <w:p w14:paraId="5901F9A6" w14:textId="5CE30133" w:rsidR="001B0301" w:rsidRPr="006B46C7" w:rsidRDefault="004D2C53" w:rsidP="006B46C7">
      <w:pPr>
        <w:pStyle w:val="11"/>
        <w:spacing w:after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Второе </w:t>
      </w:r>
      <w:r w:rsidR="0050699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обеспечение тесной связи между целями программы тестирования и функцией управления рисками предприятия (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ERM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). Например, ежегодные темы или приоритеты для симуляционных упражнений могут быть связаны с возникающими рисками. Активное участие команды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ERM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на этапе разработки также способствует более эффективному анализу того, насколько хорошо риски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CMD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были снижены в ходе тестирования.</w:t>
      </w:r>
    </w:p>
    <w:p w14:paraId="3BD32AA6" w14:textId="513714FC" w:rsidR="001B0301" w:rsidRPr="006B46C7" w:rsidRDefault="004D2C53" w:rsidP="006B46C7">
      <w:pPr>
        <w:pStyle w:val="11"/>
        <w:spacing w:after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В-третьих, это тщательная подготовка к межведомственному моделированию путем регулярного взаимодействия и налаживания отношений с другими органами </w:t>
      </w:r>
      <w:r w:rsidR="00506991">
        <w:rPr>
          <w:rFonts w:ascii="Times New Roman" w:hAnsi="Times New Roman" w:cs="Times New Roman"/>
          <w:sz w:val="24"/>
          <w:szCs w:val="24"/>
          <w:lang w:val="ru-RU"/>
        </w:rPr>
        <w:t>СПФС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. Важнейшим аспектом достижения общих целей совместных учений является обеспечение заблаговременной поддержки и участия ключевых заинтересованных сторон. Взаимодействие может включать в себя проведение сессий по обмену знаниями до начала учений, чтобы согласовать понимание и ожидания в отношении мандатов, полномочий, внутреннего управления и механизмов принятия решений соответствующих ведомств. Еще одно преимущество более тесного взаимодействия</w:t>
      </w:r>
      <w:r w:rsidR="00506991">
        <w:rPr>
          <w:rFonts w:ascii="Times New Roman" w:hAnsi="Times New Roman" w:cs="Times New Roman"/>
          <w:sz w:val="24"/>
          <w:szCs w:val="24"/>
          <w:lang w:val="ru-RU"/>
        </w:rPr>
        <w:t>, которое проявляется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со временем</w:t>
      </w:r>
      <w:r w:rsidR="0050699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заключается в постепенной институционализации совместных имитационных учений, которые являются частью среднесрочных стратегических планов различных органов </w:t>
      </w:r>
      <w:r w:rsidR="00506991">
        <w:rPr>
          <w:rFonts w:ascii="Times New Roman" w:hAnsi="Times New Roman" w:cs="Times New Roman"/>
          <w:sz w:val="24"/>
          <w:szCs w:val="24"/>
          <w:lang w:val="ru-RU"/>
        </w:rPr>
        <w:t>СПФС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Важно также обеспечить устойчивое и последовательное взаимодействие для решения практической проблемы периодической смены ключевого персонала других партнеров по </w:t>
      </w:r>
      <w:r w:rsidR="00506991">
        <w:rPr>
          <w:rFonts w:ascii="Times New Roman" w:hAnsi="Times New Roman" w:cs="Times New Roman"/>
          <w:sz w:val="24"/>
          <w:szCs w:val="24"/>
          <w:lang w:val="ru-RU"/>
        </w:rPr>
        <w:t>СПФС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F17F7E0" w14:textId="05A037C2" w:rsidR="001B0301" w:rsidRPr="006B46C7" w:rsidRDefault="004D2C53" w:rsidP="006B46C7">
      <w:pPr>
        <w:pStyle w:val="11"/>
        <w:spacing w:after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Четвертый и связанный с этим момент </w:t>
      </w:r>
      <w:r w:rsidR="00506991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создание сильной межведомственной команды для обеспечения эффективного достижения ключевых результатов совместных имитационных учений. Координационные группы могут охватывать стратегические и оперативные аспекты, чтобы обеспечить четкое согласование целей, плана и масштаба учений между ведомствами. На рабочем уровне команды могли бы совместно работать над формированием и созданием описательной части учений, а также разработкой кратких, но актуальных материалов, учитывающих современные тенденции в </w:t>
      </w:r>
      <w:r w:rsidR="00506991">
        <w:rPr>
          <w:rFonts w:ascii="Times New Roman" w:hAnsi="Times New Roman" w:cs="Times New Roman"/>
          <w:sz w:val="24"/>
          <w:szCs w:val="24"/>
          <w:lang w:val="ru-RU"/>
        </w:rPr>
        <w:t>национальной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экономике, финансовой сфере и сфере регулирования.</w:t>
      </w:r>
    </w:p>
    <w:p w14:paraId="3BBF8A81" w14:textId="0E282E2C" w:rsidR="00126695" w:rsidRPr="006B46C7" w:rsidRDefault="004D2C53" w:rsidP="00126695">
      <w:pPr>
        <w:pStyle w:val="11"/>
        <w:spacing w:after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И наконец, разработка </w:t>
      </w:r>
      <w:r w:rsidR="00A100CD">
        <w:rPr>
          <w:rFonts w:ascii="Times New Roman" w:hAnsi="Times New Roman" w:cs="Times New Roman"/>
          <w:sz w:val="24"/>
          <w:szCs w:val="24"/>
          <w:lang w:val="ru-RU"/>
        </w:rPr>
        <w:t>плана действий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после моделирования. Это включает в себя </w:t>
      </w:r>
      <w:r w:rsidR="00A100CD">
        <w:rPr>
          <w:rFonts w:ascii="Times New Roman" w:hAnsi="Times New Roman" w:cs="Times New Roman"/>
          <w:sz w:val="24"/>
          <w:szCs w:val="24"/>
          <w:lang w:val="ru-RU"/>
        </w:rPr>
        <w:t>анализ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результатов для выявления и определения приоритетности пробелов, которые необходимо устранить, а также последующие обзоры и отчётность для руководства. В этой связи определение ответственности за последующие действия может оказаться сложным для областей, которые носят межфункциональный, операционный или долгосрочный характер, а также для областей, которые зависят от действий внешних сторон.</w:t>
      </w:r>
      <w:r w:rsidR="00126695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58D107C" w14:textId="131C21CD" w:rsidR="001B0301" w:rsidRPr="006B46C7" w:rsidRDefault="001B0301" w:rsidP="006B46C7">
      <w:pPr>
        <w:pStyle w:val="11"/>
        <w:spacing w:after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BE4328" w14:textId="5082A17E" w:rsidR="001B0301" w:rsidRPr="006B46C7" w:rsidRDefault="004D2C53" w:rsidP="006B46C7">
      <w:pPr>
        <w:pStyle w:val="11"/>
        <w:pBdr>
          <w:top w:val="single" w:sz="4" w:space="0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Сохранение программы </w:t>
      </w:r>
      <w:r w:rsidR="006646EF"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оценки </w:t>
      </w: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готовности к кризисным ситуациям и управления ими в будущем</w:t>
      </w:r>
    </w:p>
    <w:p w14:paraId="512334C4" w14:textId="3E1FC181" w:rsidR="001B0301" w:rsidRDefault="004D2C53">
      <w:pPr>
        <w:pStyle w:val="11"/>
        <w:ind w:left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Иллюстрация 1: Постепенное повышение готовности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CMD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от внутренней к внешней динамике</w:t>
      </w:r>
    </w:p>
    <w:p w14:paraId="53D9E504" w14:textId="3BAE48DD" w:rsidR="0053024F" w:rsidRPr="006B46C7" w:rsidRDefault="009C7F21">
      <w:pPr>
        <w:pStyle w:val="11"/>
        <w:ind w:left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340B309D" wp14:editId="49394B0D">
            <wp:extent cx="5103628" cy="2735804"/>
            <wp:effectExtent l="0" t="0" r="1905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9701" cy="273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6556D" w14:textId="77777777" w:rsidR="001B0301" w:rsidRPr="006B46C7" w:rsidRDefault="001B0301">
      <w:pPr>
        <w:spacing w:after="659" w:line="1" w:lineRule="exact"/>
        <w:rPr>
          <w:rFonts w:ascii="Times New Roman" w:hAnsi="Times New Roman" w:cs="Times New Roman"/>
        </w:rPr>
      </w:pPr>
    </w:p>
    <w:p w14:paraId="1B0821E6" w14:textId="03DB66F2" w:rsidR="001B0301" w:rsidRPr="006B46C7" w:rsidRDefault="004D2C53">
      <w:pPr>
        <w:pStyle w:val="11"/>
        <w:ind w:left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Как показано выше, тестирование готовности к кризисам и управления ими в </w:t>
      </w:r>
      <w:r w:rsidR="003659CB">
        <w:rPr>
          <w:rFonts w:ascii="Times New Roman" w:hAnsi="Times New Roman" w:cs="Times New Roman"/>
          <w:sz w:val="24"/>
          <w:szCs w:val="24"/>
        </w:rPr>
        <w:t>PIDM</w:t>
      </w:r>
      <w:r w:rsidR="003659CB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проходило в несколько этапов. В дальнейшем </w:t>
      </w:r>
      <w:r w:rsidR="003659CB">
        <w:rPr>
          <w:rFonts w:ascii="Times New Roman" w:hAnsi="Times New Roman" w:cs="Times New Roman"/>
          <w:sz w:val="24"/>
          <w:szCs w:val="24"/>
        </w:rPr>
        <w:t>PIDM</w:t>
      </w:r>
      <w:r w:rsidR="003659CB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будет применять более целостный</w:t>
      </w:r>
      <w:r w:rsidR="00C56A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и комплексный подход к своей программе испытаний. Была разработана стратегическая дорожная карта, которая включает в себя, в частности, двусторонние настольные и межведомственные симуляционные учения по вопросам, связанным с урегулированием, тестирование возможностей выплат, процедур ликвидации, готовности контакт-центров, планов обеспечения непрерывности деятельности, киберучений, а также тестирование планов по урегулированию несостоятельности с </w:t>
      </w:r>
      <w:r w:rsidR="003659CB">
        <w:rPr>
          <w:rFonts w:ascii="Times New Roman" w:hAnsi="Times New Roman" w:cs="Times New Roman"/>
          <w:sz w:val="24"/>
          <w:szCs w:val="24"/>
          <w:lang w:val="ru-RU"/>
        </w:rPr>
        <w:t>партнерами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59CB">
        <w:rPr>
          <w:rFonts w:ascii="Times New Roman" w:hAnsi="Times New Roman" w:cs="Times New Roman"/>
          <w:sz w:val="24"/>
          <w:szCs w:val="24"/>
        </w:rPr>
        <w:t>PIDM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среднесрочной перспективе. Кроме того, </w:t>
      </w:r>
      <w:r w:rsidR="003659CB">
        <w:rPr>
          <w:rFonts w:ascii="Times New Roman" w:hAnsi="Times New Roman" w:cs="Times New Roman"/>
          <w:sz w:val="24"/>
          <w:szCs w:val="24"/>
        </w:rPr>
        <w:t>PIDM</w:t>
      </w:r>
      <w:r w:rsidR="003659CB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продолжит внимательно следить за глобальными событиями, стандартами и практиками, направленными на повышение готовности к кризисам и тестирование управления, включая уроки, извлеченные из банковских потрясений в США и Швейцарии в 2023 году.</w:t>
      </w:r>
    </w:p>
    <w:p w14:paraId="22092C3B" w14:textId="258A18F4" w:rsidR="001B0301" w:rsidRDefault="004D2C53">
      <w:pPr>
        <w:pStyle w:val="11"/>
        <w:pBdr>
          <w:bottom w:val="single" w:sz="4" w:space="0" w:color="auto"/>
        </w:pBdr>
        <w:ind w:left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целом, ожидается, что усилия </w:t>
      </w:r>
      <w:r w:rsidR="003659CB">
        <w:rPr>
          <w:rFonts w:ascii="Times New Roman" w:hAnsi="Times New Roman" w:cs="Times New Roman"/>
          <w:sz w:val="24"/>
          <w:szCs w:val="24"/>
        </w:rPr>
        <w:t>PIDM</w:t>
      </w:r>
      <w:r w:rsidR="003659CB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приведут к повышению уровня готовности к урегулированию несостоятельности и эффективному снижению рисков предприятия в соответствии со стратегической целью </w:t>
      </w:r>
      <w:r w:rsidR="003659CB">
        <w:rPr>
          <w:rFonts w:ascii="Times New Roman" w:hAnsi="Times New Roman" w:cs="Times New Roman"/>
          <w:sz w:val="24"/>
          <w:szCs w:val="24"/>
        </w:rPr>
        <w:t>PIDM</w:t>
      </w:r>
      <w:r w:rsidR="003659CB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по достижению совместной готовности к урегулированию среди ключевых заинтересованных сторон.</w:t>
      </w:r>
    </w:p>
    <w:p w14:paraId="6ACB2C8E" w14:textId="77777777" w:rsidR="00C96D47" w:rsidRDefault="00C96D47">
      <w:pPr>
        <w:pStyle w:val="11"/>
        <w:pBdr>
          <w:bottom w:val="single" w:sz="4" w:space="0" w:color="auto"/>
        </w:pBdr>
        <w:ind w:left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CF0F2B" w14:textId="77777777" w:rsidR="00C96D47" w:rsidRPr="006B46C7" w:rsidRDefault="00C96D47">
      <w:pPr>
        <w:pStyle w:val="11"/>
        <w:pBdr>
          <w:bottom w:val="single" w:sz="4" w:space="0" w:color="auto"/>
        </w:pBdr>
        <w:ind w:left="3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C96D47" w:rsidRPr="006B46C7">
          <w:pgSz w:w="12240" w:h="15840"/>
          <w:pgMar w:top="943" w:right="1552" w:bottom="709" w:left="1562" w:header="0" w:footer="3" w:gutter="0"/>
          <w:cols w:space="720"/>
          <w:noEndnote/>
          <w:docGrid w:linePitch="360"/>
          <w15:footnoteColumns w:val="1"/>
        </w:sectPr>
      </w:pPr>
    </w:p>
    <w:p w14:paraId="54F28556" w14:textId="59C22DA1" w:rsidR="001B0301" w:rsidRDefault="00186471" w:rsidP="00186471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  <w:bookmarkStart w:id="95" w:name="bookmark130"/>
      <w:bookmarkStart w:id="96" w:name="bookmark129"/>
      <w:bookmarkStart w:id="97" w:name="_Toc206774059"/>
      <w:bookmarkEnd w:id="95"/>
      <w:r w:rsidRPr="00186471">
        <w:rPr>
          <w:rFonts w:ascii="Times New Roman" w:hAnsi="Times New Roman" w:cs="Times New Roman"/>
          <w:sz w:val="28"/>
          <w:szCs w:val="28"/>
          <w:lang w:val="ru-RU"/>
        </w:rPr>
        <w:t xml:space="preserve">4.2. </w:t>
      </w:r>
      <w:r w:rsidR="00126695" w:rsidRPr="00186471">
        <w:rPr>
          <w:rFonts w:ascii="Times New Roman" w:hAnsi="Times New Roman" w:cs="Times New Roman"/>
          <w:sz w:val="28"/>
          <w:szCs w:val="28"/>
          <w:lang w:val="ru-RU"/>
        </w:rPr>
        <w:t>Выводы</w:t>
      </w:r>
      <w:r w:rsidR="004D2C53" w:rsidRPr="0018647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D28A0" w:rsidRPr="00186471">
        <w:rPr>
          <w:rFonts w:ascii="Times New Roman" w:hAnsi="Times New Roman" w:cs="Times New Roman"/>
          <w:sz w:val="28"/>
          <w:szCs w:val="28"/>
          <w:lang w:val="ru-RU"/>
        </w:rPr>
        <w:t xml:space="preserve">сформулированные </w:t>
      </w:r>
      <w:r w:rsidR="004D2C53" w:rsidRPr="00186471">
        <w:rPr>
          <w:rFonts w:ascii="Times New Roman" w:hAnsi="Times New Roman" w:cs="Times New Roman"/>
          <w:sz w:val="28"/>
          <w:szCs w:val="28"/>
          <w:lang w:val="ru-RU"/>
        </w:rPr>
        <w:t xml:space="preserve">из </w:t>
      </w:r>
      <w:r w:rsidR="00126695" w:rsidRPr="00186471">
        <w:rPr>
          <w:rFonts w:ascii="Times New Roman" w:hAnsi="Times New Roman" w:cs="Times New Roman"/>
          <w:sz w:val="28"/>
          <w:szCs w:val="28"/>
          <w:lang w:val="ru-RU"/>
        </w:rPr>
        <w:t>тестов</w:t>
      </w:r>
      <w:r w:rsidR="004D2C53" w:rsidRPr="00186471">
        <w:rPr>
          <w:rFonts w:ascii="Times New Roman" w:hAnsi="Times New Roman" w:cs="Times New Roman"/>
          <w:sz w:val="28"/>
          <w:szCs w:val="28"/>
          <w:lang w:val="ru-RU"/>
        </w:rPr>
        <w:t>, и связь с реальными случаями</w:t>
      </w:r>
      <w:bookmarkEnd w:id="96"/>
      <w:bookmarkEnd w:id="97"/>
    </w:p>
    <w:p w14:paraId="06DA623A" w14:textId="77777777" w:rsidR="00186471" w:rsidRPr="00186471" w:rsidRDefault="00186471" w:rsidP="00186471">
      <w:pPr>
        <w:rPr>
          <w:lang w:val="ru-RU"/>
        </w:rPr>
      </w:pPr>
    </w:p>
    <w:p w14:paraId="76F20D07" w14:textId="2A19C95B" w:rsidR="001B0301" w:rsidRPr="006B46C7" w:rsidRDefault="004D2C53">
      <w:pPr>
        <w:pStyle w:val="11"/>
        <w:spacing w:after="6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Мероприятия по обеспечению готовности к кризисным ситуациям и управлению ими дают возможность страховщикам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соответствующим заинтересованным сторонам повысить уровень готовности за счет практического опыта, предшествующего реальному кризису. В этом разделе рассматривается, как страховщики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смогли применить свой опыт тестирования и извлеченные уроки к реальным неудачам, и наоборот. Обсуждение основано на данных опросов и тематических исследований, проведенных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BFG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-Польш</w:t>
      </w:r>
      <w:r w:rsidR="006646EF" w:rsidRPr="006B46C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FDIC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-США,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DNB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3659CB">
        <w:rPr>
          <w:rFonts w:ascii="Times New Roman" w:hAnsi="Times New Roman" w:cs="Times New Roman"/>
          <w:sz w:val="24"/>
          <w:szCs w:val="24"/>
          <w:lang w:val="ru-RU"/>
        </w:rPr>
        <w:t>Нидерланды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NDIC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-Нигери</w:t>
      </w:r>
      <w:r w:rsidR="006646EF" w:rsidRPr="006B46C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EACF1D" w14:textId="77777777" w:rsidR="001B0301" w:rsidRPr="006B46C7" w:rsidRDefault="004D2C53">
      <w:pPr>
        <w:pStyle w:val="11"/>
        <w:pBdr>
          <w:top w:val="single" w:sz="4" w:space="0" w:color="auto"/>
        </w:pBd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color w:val="1E2E8B"/>
          <w:sz w:val="24"/>
          <w:szCs w:val="24"/>
          <w:lang w:val="ru-RU"/>
        </w:rPr>
        <w:t>Основные выводы</w:t>
      </w:r>
    </w:p>
    <w:p w14:paraId="7D6376BE" w14:textId="77777777" w:rsidR="004B14AF" w:rsidRPr="006B46C7" w:rsidRDefault="004B14AF" w:rsidP="004B14AF">
      <w:pPr>
        <w:pStyle w:val="11"/>
        <w:pBdr>
          <w:top w:val="single" w:sz="4" w:space="0" w:color="auto"/>
        </w:pBdr>
        <w:spacing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8" w:name="bookmark131"/>
      <w:bookmarkEnd w:id="98"/>
      <w:r w:rsidRPr="006B46C7">
        <w:rPr>
          <w:rFonts w:ascii="Times New Roman" w:hAnsi="Times New Roman" w:cs="Times New Roman"/>
          <w:sz w:val="24"/>
          <w:szCs w:val="24"/>
          <w:lang w:val="ru-RU"/>
        </w:rPr>
        <w:t>Юрисдикции, которые недавно сталкивались с кризисами, отметили, что после проведения тестирования они реагируют на подобные ситуации более эффективно. По их словам, тестирование может:</w:t>
      </w:r>
    </w:p>
    <w:p w14:paraId="6BCF538D" w14:textId="27329571" w:rsidR="004B14AF" w:rsidRPr="006B46C7" w:rsidRDefault="004B14AF" w:rsidP="006B46C7">
      <w:pPr>
        <w:pStyle w:val="11"/>
        <w:numPr>
          <w:ilvl w:val="0"/>
          <w:numId w:val="19"/>
        </w:numPr>
        <w:pBdr>
          <w:top w:val="single" w:sz="4" w:space="0" w:color="auto"/>
        </w:pBdr>
        <w:spacing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>Повысить операционный потенциал за счёт уточнения ролей и обязанностей, выявления возможностей для улучшения процессов и систем, а также совершенствования структуры управления в условиях кризиса;</w:t>
      </w:r>
    </w:p>
    <w:p w14:paraId="0BC5443C" w14:textId="6312A271" w:rsidR="004B14AF" w:rsidRPr="006B46C7" w:rsidRDefault="004B14AF" w:rsidP="006B46C7">
      <w:pPr>
        <w:pStyle w:val="11"/>
        <w:numPr>
          <w:ilvl w:val="0"/>
          <w:numId w:val="19"/>
        </w:numPr>
        <w:pBdr>
          <w:top w:val="single" w:sz="4" w:space="0" w:color="auto"/>
        </w:pBdr>
        <w:spacing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>Дать кадрам практический опыт, необходимый для успешного реагирования на кризис и укрепления резервного потенциала;</w:t>
      </w:r>
    </w:p>
    <w:p w14:paraId="29D75697" w14:textId="56784C01" w:rsidR="004B14AF" w:rsidRPr="006B46C7" w:rsidRDefault="004B14AF" w:rsidP="006B46C7">
      <w:pPr>
        <w:pStyle w:val="11"/>
        <w:numPr>
          <w:ilvl w:val="0"/>
          <w:numId w:val="19"/>
        </w:numPr>
        <w:pBdr>
          <w:top w:val="single" w:sz="4" w:space="0" w:color="auto"/>
        </w:pBdr>
        <w:spacing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>Способствовать лучшему пониманию мандата и инструментов страховщика вкладов внешними заинтересованными сторонами, что повышает уровень координации в реальной ситуации.</w:t>
      </w:r>
    </w:p>
    <w:p w14:paraId="45219973" w14:textId="77777777" w:rsidR="004B14AF" w:rsidRPr="006B46C7" w:rsidRDefault="004B14AF" w:rsidP="006B46C7">
      <w:pPr>
        <w:pStyle w:val="11"/>
        <w:numPr>
          <w:ilvl w:val="0"/>
          <w:numId w:val="19"/>
        </w:numPr>
        <w:pBdr>
          <w:top w:val="single" w:sz="4" w:space="0" w:color="auto"/>
        </w:pBdr>
        <w:spacing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>Реальные и близкие к критическим инциденты стали важным источником для разработки новых сценариев и определения приоритетов будущих тестов, а также помогли понять, как усовершенствовать уже существующие процессы.</w:t>
      </w:r>
    </w:p>
    <w:p w14:paraId="3508AC44" w14:textId="32378163" w:rsidR="004B14AF" w:rsidRPr="006B46C7" w:rsidRDefault="004B14AF" w:rsidP="004B14AF">
      <w:pPr>
        <w:pStyle w:val="11"/>
        <w:numPr>
          <w:ilvl w:val="0"/>
          <w:numId w:val="19"/>
        </w:numPr>
        <w:pBdr>
          <w:top w:val="single" w:sz="4" w:space="0" w:color="auto"/>
        </w:pBdr>
        <w:spacing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>Практический опыт также показал необходимость более широкого вовлечения и взаимодействия с соответствующими внешними участниками.</w:t>
      </w:r>
    </w:p>
    <w:p w14:paraId="166B7055" w14:textId="526B2A95" w:rsidR="006A4639" w:rsidRDefault="006A4639" w:rsidP="004B14AF">
      <w:pPr>
        <w:pStyle w:val="11"/>
        <w:numPr>
          <w:ilvl w:val="0"/>
          <w:numId w:val="19"/>
        </w:numPr>
        <w:pBdr>
          <w:top w:val="single" w:sz="4" w:space="0" w:color="auto"/>
        </w:pBdr>
        <w:spacing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>При этом тестирование имеет ограничения, так как каждый кризис уникален. Опыт подчёркивает важность оперативности и гибкости, а также ценность регулярных проверок с использованием различных сценариев</w:t>
      </w:r>
    </w:p>
    <w:p w14:paraId="744D74D6" w14:textId="77777777" w:rsidR="00534AAD" w:rsidRPr="006B46C7" w:rsidRDefault="00534AAD" w:rsidP="006B46C7">
      <w:pPr>
        <w:pStyle w:val="11"/>
        <w:pBdr>
          <w:top w:val="single" w:sz="4" w:space="0" w:color="auto"/>
        </w:pBdr>
        <w:spacing w:after="60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4D7E46" w14:textId="7CDCFD61" w:rsidR="001B0301" w:rsidRPr="003659CB" w:rsidRDefault="00126695">
      <w:pPr>
        <w:pStyle w:val="24"/>
        <w:keepNext/>
        <w:keepLines/>
        <w:numPr>
          <w:ilvl w:val="0"/>
          <w:numId w:val="9"/>
        </w:numPr>
        <w:tabs>
          <w:tab w:val="left" w:pos="623"/>
        </w:tabs>
        <w:spacing w:after="6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bookmarkStart w:id="99" w:name="bookmark132"/>
      <w:bookmarkStart w:id="100" w:name="bookmark133"/>
      <w:bookmarkStart w:id="101" w:name="bookmark134"/>
      <w:bookmarkStart w:id="102" w:name="bookmark135"/>
      <w:bookmarkStart w:id="103" w:name="bookmark136"/>
      <w:bookmarkStart w:id="104" w:name="bookmark137"/>
      <w:bookmarkStart w:id="105" w:name="bookmark141"/>
      <w:bookmarkStart w:id="106" w:name="_Toc206774060"/>
      <w:bookmarkEnd w:id="99"/>
      <w:bookmarkEnd w:id="100"/>
      <w:bookmarkEnd w:id="101"/>
      <w:bookmarkEnd w:id="102"/>
      <w:bookmarkEnd w:id="103"/>
      <w:bookmarkEnd w:id="104"/>
      <w:bookmarkEnd w:id="105"/>
      <w:r w:rsidRPr="003659CB">
        <w:rPr>
          <w:rFonts w:ascii="Times New Roman" w:hAnsi="Times New Roman" w:cs="Times New Roman"/>
          <w:b w:val="0"/>
          <w:color w:val="1E2E8B"/>
          <w:sz w:val="24"/>
          <w:szCs w:val="24"/>
          <w:lang w:val="ru-RU"/>
        </w:rPr>
        <w:t>Выводы</w:t>
      </w:r>
      <w:r w:rsidR="00BD28A0" w:rsidRPr="003659CB">
        <w:rPr>
          <w:rFonts w:ascii="Times New Roman" w:hAnsi="Times New Roman" w:cs="Times New Roman"/>
          <w:b w:val="0"/>
          <w:color w:val="1E2E8B"/>
          <w:sz w:val="24"/>
          <w:szCs w:val="24"/>
          <w:lang w:val="ru-RU"/>
        </w:rPr>
        <w:t>, сформулированные</w:t>
      </w:r>
      <w:r w:rsidRPr="003659CB">
        <w:rPr>
          <w:rFonts w:ascii="Times New Roman" w:hAnsi="Times New Roman" w:cs="Times New Roman"/>
          <w:b w:val="0"/>
          <w:color w:val="1E2E8B"/>
          <w:sz w:val="24"/>
          <w:szCs w:val="24"/>
          <w:lang w:val="ru-RU"/>
        </w:rPr>
        <w:t xml:space="preserve"> на основании результатов тестирования</w:t>
      </w:r>
      <w:bookmarkEnd w:id="106"/>
    </w:p>
    <w:p w14:paraId="23F2225E" w14:textId="46168C06" w:rsidR="001B0301" w:rsidRPr="006B46C7" w:rsidRDefault="004D2C53">
      <w:pPr>
        <w:pStyle w:val="11"/>
        <w:spacing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По мнению респондентов, </w:t>
      </w:r>
      <w:r w:rsidR="00D1393D" w:rsidRPr="006B46C7">
        <w:rPr>
          <w:rFonts w:ascii="Times New Roman" w:hAnsi="Times New Roman" w:cs="Times New Roman"/>
          <w:sz w:val="24"/>
          <w:szCs w:val="24"/>
          <w:lang w:val="ru-RU"/>
        </w:rPr>
        <w:t>выводы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1393D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сформулированные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из учений, обычно включают: </w:t>
      </w:r>
      <w:r w:rsidR="00256E74" w:rsidRPr="006B46C7">
        <w:rPr>
          <w:rFonts w:ascii="Times New Roman" w:hAnsi="Times New Roman" w:cs="Times New Roman"/>
          <w:sz w:val="24"/>
          <w:szCs w:val="24"/>
          <w:lang w:val="ru-RU"/>
        </w:rPr>
        <w:t>достаточность</w:t>
      </w:r>
      <w:r w:rsidR="00E17042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имеющихся полномочий и инструментов; важность эффективной коммуникации, координации и принятия решений; а также </w:t>
      </w:r>
      <w:r w:rsidR="002E0167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оценку эффективности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существующих процессов и технологических возможностей. Эти выводы часто помогают выявить уязвимые места и определить будущие </w:t>
      </w:r>
      <w:r w:rsidR="00CD109C" w:rsidRPr="006B46C7">
        <w:rPr>
          <w:rFonts w:ascii="Times New Roman" w:hAnsi="Times New Roman" w:cs="Times New Roman"/>
          <w:sz w:val="24"/>
          <w:szCs w:val="24"/>
          <w:lang w:val="ru-RU"/>
        </w:rPr>
        <w:t>вызовы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которые будут способствовать постоянному совершенствованию. Около 70 % респондентов считают, что 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проверки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привели к значимым улучшениям в готовности их организации к кризису, включая:</w:t>
      </w:r>
    </w:p>
    <w:p w14:paraId="1B1D28F2" w14:textId="0D2EDE0D" w:rsidR="001B0301" w:rsidRPr="006B46C7" w:rsidRDefault="004D2C53" w:rsidP="001E0C08">
      <w:pPr>
        <w:pStyle w:val="11"/>
        <w:numPr>
          <w:ilvl w:val="0"/>
          <w:numId w:val="5"/>
        </w:numPr>
        <w:tabs>
          <w:tab w:val="left" w:pos="426"/>
        </w:tabs>
        <w:spacing w:after="60" w:line="254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7" w:name="bookmark143"/>
      <w:bookmarkEnd w:id="107"/>
      <w:r w:rsidRPr="006B46C7">
        <w:rPr>
          <w:rFonts w:ascii="Times New Roman" w:hAnsi="Times New Roman" w:cs="Times New Roman"/>
          <w:sz w:val="24"/>
          <w:szCs w:val="24"/>
          <w:lang w:val="ru-RU"/>
        </w:rPr>
        <w:t>Понимание практических соображений и условий для активации полномочий по урегулированию несостоятельности/</w:t>
      </w:r>
      <w:r w:rsidR="001E0C08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использованию конкретных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инструментов</w:t>
      </w:r>
      <w:r w:rsidR="001E0C08">
        <w:rPr>
          <w:rFonts w:ascii="Times New Roman" w:hAnsi="Times New Roman" w:cs="Times New Roman"/>
          <w:sz w:val="24"/>
          <w:szCs w:val="24"/>
          <w:lang w:val="ru-RU"/>
        </w:rPr>
        <w:t xml:space="preserve"> урегулирования</w:t>
      </w:r>
    </w:p>
    <w:p w14:paraId="48B8999D" w14:textId="77777777" w:rsidR="001B0301" w:rsidRPr="006B46C7" w:rsidRDefault="004D2C53" w:rsidP="001E0C08">
      <w:pPr>
        <w:pStyle w:val="11"/>
        <w:numPr>
          <w:ilvl w:val="0"/>
          <w:numId w:val="5"/>
        </w:numPr>
        <w:tabs>
          <w:tab w:val="left" w:pos="426"/>
        </w:tabs>
        <w:spacing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8" w:name="bookmark144"/>
      <w:bookmarkEnd w:id="108"/>
      <w:r w:rsidRPr="006B46C7">
        <w:rPr>
          <w:rFonts w:ascii="Times New Roman" w:hAnsi="Times New Roman" w:cs="Times New Roman"/>
          <w:sz w:val="24"/>
          <w:szCs w:val="24"/>
          <w:lang w:val="ru-RU"/>
        </w:rPr>
        <w:t>Выявление недостающих полномочий, юридических барьеров и ограничений, которые могут возникнуть в условиях кризиса</w:t>
      </w:r>
    </w:p>
    <w:p w14:paraId="6CEA03BC" w14:textId="77777777" w:rsidR="001B0301" w:rsidRPr="006B46C7" w:rsidRDefault="004D2C53" w:rsidP="001E0C08">
      <w:pPr>
        <w:pStyle w:val="11"/>
        <w:numPr>
          <w:ilvl w:val="0"/>
          <w:numId w:val="5"/>
        </w:numPr>
        <w:tabs>
          <w:tab w:val="left" w:pos="426"/>
        </w:tabs>
        <w:spacing w:after="60" w:line="254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9" w:name="bookmark145"/>
      <w:bookmarkEnd w:id="109"/>
      <w:r w:rsidRPr="006B46C7">
        <w:rPr>
          <w:rFonts w:ascii="Times New Roman" w:hAnsi="Times New Roman" w:cs="Times New Roman"/>
          <w:sz w:val="24"/>
          <w:szCs w:val="24"/>
          <w:lang w:val="ru-RU"/>
        </w:rPr>
        <w:t>Выявление пробелов в обмене информацией между органами власти, что приведет к обновлению меморандумов о взаимопонимании</w:t>
      </w:r>
    </w:p>
    <w:p w14:paraId="689E2C1F" w14:textId="065467F3" w:rsidR="001B0301" w:rsidRPr="006B46C7" w:rsidRDefault="004D2C53" w:rsidP="001E0C08">
      <w:pPr>
        <w:pStyle w:val="11"/>
        <w:numPr>
          <w:ilvl w:val="0"/>
          <w:numId w:val="5"/>
        </w:numPr>
        <w:tabs>
          <w:tab w:val="left" w:pos="426"/>
        </w:tabs>
        <w:spacing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0" w:name="bookmark146"/>
      <w:bookmarkEnd w:id="110"/>
      <w:r w:rsidRPr="006B46C7">
        <w:rPr>
          <w:rFonts w:ascii="Times New Roman" w:hAnsi="Times New Roman" w:cs="Times New Roman"/>
          <w:sz w:val="24"/>
          <w:szCs w:val="24"/>
          <w:lang w:val="ru-RU"/>
        </w:rPr>
        <w:t>Разработк</w:t>
      </w:r>
      <w:r w:rsidR="00E85496" w:rsidRPr="006B46C7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соглашений и процедур для получения доступа к государственным</w:t>
      </w:r>
      <w:r w:rsidR="00E85496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средствам путем заимствования</w:t>
      </w:r>
    </w:p>
    <w:p w14:paraId="170F7F99" w14:textId="6F249809" w:rsidR="001B0301" w:rsidRPr="006B46C7" w:rsidRDefault="004D2C53" w:rsidP="001E0C08">
      <w:pPr>
        <w:pStyle w:val="11"/>
        <w:numPr>
          <w:ilvl w:val="0"/>
          <w:numId w:val="5"/>
        </w:numPr>
        <w:tabs>
          <w:tab w:val="left" w:pos="426"/>
        </w:tabs>
        <w:spacing w:after="60" w:line="254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1" w:name="bookmark147"/>
      <w:bookmarkEnd w:id="111"/>
      <w:r w:rsidRPr="006B46C7">
        <w:rPr>
          <w:rFonts w:ascii="Times New Roman" w:hAnsi="Times New Roman" w:cs="Times New Roman"/>
          <w:sz w:val="24"/>
          <w:szCs w:val="24"/>
          <w:lang w:val="ru-RU"/>
        </w:rPr>
        <w:t>Установление более прочных деловых отношений и открытого диалога с другими органами власти, чтобы коммуникация и координация в кризисной ситуации осуществлялись более гладко.</w:t>
      </w:r>
      <w:r w:rsidR="00126695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89EDE5B" w14:textId="0BF537CF" w:rsidR="001B0301" w:rsidRPr="006B46C7" w:rsidRDefault="004D2C53" w:rsidP="001E0C08">
      <w:pPr>
        <w:pStyle w:val="11"/>
        <w:numPr>
          <w:ilvl w:val="0"/>
          <w:numId w:val="5"/>
        </w:numPr>
        <w:tabs>
          <w:tab w:val="left" w:pos="426"/>
        </w:tabs>
        <w:spacing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2" w:name="bookmark148"/>
      <w:bookmarkEnd w:id="112"/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Улучшение координации действий между </w:t>
      </w:r>
      <w:r w:rsidR="001E0C08">
        <w:rPr>
          <w:rFonts w:ascii="Times New Roman" w:hAnsi="Times New Roman" w:cs="Times New Roman"/>
          <w:sz w:val="24"/>
          <w:szCs w:val="24"/>
          <w:lang w:val="ru-RU"/>
        </w:rPr>
        <w:t>подразделениями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внутри организации</w:t>
      </w:r>
    </w:p>
    <w:p w14:paraId="11C537BB" w14:textId="39347E15" w:rsidR="001B0301" w:rsidRPr="006B46C7" w:rsidRDefault="004D2C53" w:rsidP="001E0C08">
      <w:pPr>
        <w:pStyle w:val="11"/>
        <w:numPr>
          <w:ilvl w:val="0"/>
          <w:numId w:val="5"/>
        </w:numPr>
        <w:tabs>
          <w:tab w:val="left" w:pos="426"/>
        </w:tabs>
        <w:spacing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3" w:name="bookmark149"/>
      <w:bookmarkEnd w:id="113"/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Совершенствование процессов принятия решений и процедур в условиях кризиса (игровые </w:t>
      </w:r>
      <w:r w:rsidR="001E0C08">
        <w:rPr>
          <w:rFonts w:ascii="Times New Roman" w:hAnsi="Times New Roman" w:cs="Times New Roman"/>
          <w:sz w:val="24"/>
          <w:szCs w:val="24"/>
          <w:lang w:val="ru-RU"/>
        </w:rPr>
        <w:t>сценарии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55F7BF46" w14:textId="77777777" w:rsidR="001B0301" w:rsidRPr="006B46C7" w:rsidRDefault="004D2C53" w:rsidP="001E0C08">
      <w:pPr>
        <w:pStyle w:val="11"/>
        <w:numPr>
          <w:ilvl w:val="0"/>
          <w:numId w:val="5"/>
        </w:numPr>
        <w:tabs>
          <w:tab w:val="left" w:pos="426"/>
        </w:tabs>
        <w:spacing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14" w:name="bookmark150"/>
      <w:bookmarkEnd w:id="114"/>
      <w:r w:rsidRPr="006B46C7">
        <w:rPr>
          <w:rFonts w:ascii="Times New Roman" w:hAnsi="Times New Roman" w:cs="Times New Roman"/>
          <w:sz w:val="24"/>
          <w:szCs w:val="24"/>
        </w:rPr>
        <w:t>Разработка необходимой документации и шаблонов</w:t>
      </w:r>
    </w:p>
    <w:p w14:paraId="1C71BF11" w14:textId="77777777" w:rsidR="001B0301" w:rsidRPr="006B46C7" w:rsidRDefault="004D2C53" w:rsidP="001E0C08">
      <w:pPr>
        <w:pStyle w:val="11"/>
        <w:numPr>
          <w:ilvl w:val="0"/>
          <w:numId w:val="5"/>
        </w:numPr>
        <w:tabs>
          <w:tab w:val="left" w:pos="426"/>
        </w:tabs>
        <w:spacing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15" w:name="bookmark151"/>
      <w:bookmarkEnd w:id="115"/>
      <w:r w:rsidRPr="006B46C7">
        <w:rPr>
          <w:rFonts w:ascii="Times New Roman" w:hAnsi="Times New Roman" w:cs="Times New Roman"/>
          <w:sz w:val="24"/>
          <w:szCs w:val="24"/>
        </w:rPr>
        <w:t>Модернизация систем и ИТ-инструментов</w:t>
      </w:r>
    </w:p>
    <w:p w14:paraId="52BBB276" w14:textId="77777777" w:rsidR="001B0301" w:rsidRPr="006B46C7" w:rsidRDefault="004D2C53" w:rsidP="001E0C08">
      <w:pPr>
        <w:pStyle w:val="11"/>
        <w:numPr>
          <w:ilvl w:val="0"/>
          <w:numId w:val="5"/>
        </w:numPr>
        <w:tabs>
          <w:tab w:val="left" w:pos="426"/>
        </w:tabs>
        <w:spacing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6" w:name="bookmark152"/>
      <w:bookmarkEnd w:id="116"/>
      <w:r w:rsidRPr="006B46C7">
        <w:rPr>
          <w:rFonts w:ascii="Times New Roman" w:hAnsi="Times New Roman" w:cs="Times New Roman"/>
          <w:sz w:val="24"/>
          <w:szCs w:val="24"/>
          <w:lang w:val="ru-RU"/>
        </w:rPr>
        <w:t>Повышение потенциала и уверенности персонала за счет обучения</w:t>
      </w:r>
    </w:p>
    <w:p w14:paraId="05BA370E" w14:textId="4D688D53" w:rsidR="001B0301" w:rsidRPr="006B46C7" w:rsidRDefault="004D2C53" w:rsidP="00BD28A0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примере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BFG</w:t>
      </w:r>
      <w:r w:rsidR="001E0C08">
        <w:rPr>
          <w:rFonts w:ascii="Times New Roman" w:hAnsi="Times New Roman" w:cs="Times New Roman"/>
          <w:sz w:val="24"/>
          <w:szCs w:val="24"/>
          <w:lang w:val="ru-RU"/>
        </w:rPr>
        <w:t xml:space="preserve"> (Польша)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показано, как можно использовать тестирование для проверки процессов и процедур организации, выявления потенциальных проблем и необходимых действий для активизации сотрудничества с другими органами власти. В ходе исследования была проверена возможность доступа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BFG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к альтернативному механизму финансирования, что привело к заключению рамочного кредитного соглашения с Казначейством, которое позволит более оперативно принимать решения и координировать действия властей.</w:t>
      </w:r>
    </w:p>
    <w:p w14:paraId="502E205F" w14:textId="77777777" w:rsidR="00BD28A0" w:rsidRPr="006B46C7" w:rsidRDefault="00BD28A0" w:rsidP="006B46C7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DED3ED" w14:textId="0F730271" w:rsidR="001B0301" w:rsidRDefault="004D2C53" w:rsidP="006B46C7">
      <w:pPr>
        <w:pStyle w:val="11"/>
        <w:spacing w:after="0" w:line="240" w:lineRule="auto"/>
        <w:jc w:val="both"/>
        <w:rPr>
          <w:rFonts w:ascii="Times New Roman" w:hAnsi="Times New Roman" w:cs="Times New Roman"/>
          <w:color w:val="1E2E8B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color w:val="1E2E8B"/>
          <w:sz w:val="24"/>
          <w:szCs w:val="24"/>
          <w:lang w:val="ru-RU"/>
        </w:rPr>
        <w:t xml:space="preserve">Пример из практики </w:t>
      </w:r>
      <w:r w:rsidR="000B5403">
        <w:rPr>
          <w:rFonts w:ascii="Times New Roman" w:hAnsi="Times New Roman" w:cs="Times New Roman"/>
          <w:color w:val="1E2E8B"/>
          <w:sz w:val="24"/>
          <w:szCs w:val="24"/>
          <w:lang w:val="ru-RU"/>
        </w:rPr>
        <w:t>BFG</w:t>
      </w:r>
    </w:p>
    <w:p w14:paraId="3F0292BA" w14:textId="77777777" w:rsidR="001E0C08" w:rsidRPr="006B46C7" w:rsidRDefault="001E0C08" w:rsidP="006B46C7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74FBA6" w14:textId="41F96543" w:rsidR="001B0301" w:rsidRPr="006B46C7" w:rsidRDefault="004D2C53" w:rsidP="006B46C7">
      <w:pPr>
        <w:pStyle w:val="11"/>
        <w:spacing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Моделирование выплат на основе </w:t>
      </w:r>
      <w:r w:rsidR="00B16616"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>банкроств</w:t>
      </w: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 крупного </w:t>
      </w:r>
      <w:r w:rsidR="001E0C08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национального</w:t>
      </w: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банка</w:t>
      </w:r>
    </w:p>
    <w:p w14:paraId="70E6CCE5" w14:textId="51B5BB34" w:rsidR="001B0301" w:rsidRPr="006B46C7" w:rsidRDefault="004D2C53" w:rsidP="006B46C7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ноябре 2021 года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Банковский гарантийный фонд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0C08">
        <w:rPr>
          <w:rFonts w:ascii="Times New Roman" w:hAnsi="Times New Roman" w:cs="Times New Roman"/>
          <w:sz w:val="24"/>
          <w:szCs w:val="24"/>
          <w:lang w:val="ru-RU"/>
        </w:rPr>
        <w:t xml:space="preserve">Польши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BFG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 протестировал сценарий выплат, основанный на гипотетическом </w:t>
      </w:r>
      <w:r w:rsidR="00D4454B" w:rsidRPr="006B46C7">
        <w:rPr>
          <w:rFonts w:ascii="Times New Roman" w:hAnsi="Times New Roman" w:cs="Times New Roman"/>
          <w:sz w:val="24"/>
          <w:szCs w:val="24"/>
          <w:lang w:val="ru-RU"/>
        </w:rPr>
        <w:t>банкротстве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трех организаций, включая крупный </w:t>
      </w:r>
      <w:r w:rsidR="00BF6B4B">
        <w:rPr>
          <w:rFonts w:ascii="Times New Roman" w:hAnsi="Times New Roman" w:cs="Times New Roman"/>
          <w:sz w:val="24"/>
          <w:szCs w:val="24"/>
          <w:lang w:val="ru-RU"/>
        </w:rPr>
        <w:t>национальный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коммерческий банк, по которому </w:t>
      </w:r>
      <w:r w:rsidR="00BF6B4B">
        <w:rPr>
          <w:rFonts w:ascii="Times New Roman" w:hAnsi="Times New Roman" w:cs="Times New Roman"/>
          <w:sz w:val="24"/>
          <w:szCs w:val="24"/>
          <w:lang w:val="ru-RU"/>
        </w:rPr>
        <w:t>застрахованные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депозиты превышали общий объем доступных средств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BFG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Дополнительные сложности были направлены на оценку и измерение финансового потенциала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BFG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его способности своевременно получить государственное финансирование для покрытия дефицита средств. На операционном уровне целью мероприятия было также утверждение процедуры составления заявки на получение займа.</w:t>
      </w:r>
    </w:p>
    <w:p w14:paraId="614F52DE" w14:textId="4C5E6441" w:rsidR="001B0301" w:rsidRPr="006B46C7" w:rsidRDefault="004D2C53" w:rsidP="006B46C7">
      <w:pPr>
        <w:pStyle w:val="11"/>
        <w:spacing w:after="4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Закон о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BFG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требует, чтобы организация проверяла свою способность и эффективность возврата </w:t>
      </w:r>
      <w:r w:rsidR="00BF6B4B">
        <w:rPr>
          <w:rFonts w:ascii="Times New Roman" w:hAnsi="Times New Roman" w:cs="Times New Roman"/>
          <w:sz w:val="24"/>
          <w:szCs w:val="24"/>
          <w:lang w:val="ru-RU"/>
        </w:rPr>
        <w:t>застрахованных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средств не реже одного раза в три года или по требованию министра, отвечающего за финансовые организации.</w:t>
      </w:r>
    </w:p>
    <w:p w14:paraId="3B2AFB38" w14:textId="77777777" w:rsidR="001B0301" w:rsidRPr="006B46C7" w:rsidRDefault="004D2C53" w:rsidP="006B46C7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Планирование, разработка и исполнение</w:t>
      </w:r>
    </w:p>
    <w:p w14:paraId="7AF474BF" w14:textId="01AADCCC" w:rsidR="001B0301" w:rsidRPr="006B46C7" w:rsidRDefault="004D2C53" w:rsidP="006B46C7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Помимо сотрудников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BFG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1E0C08">
        <w:rPr>
          <w:rFonts w:ascii="Times New Roman" w:hAnsi="Times New Roman" w:cs="Times New Roman"/>
          <w:sz w:val="24"/>
          <w:szCs w:val="24"/>
          <w:lang w:val="ru-RU"/>
        </w:rPr>
        <w:t>тестируемых банков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, представители Министерства финансов (</w:t>
      </w:r>
      <w:r w:rsidRPr="006B46C7">
        <w:rPr>
          <w:rFonts w:ascii="Times New Roman" w:hAnsi="Times New Roman" w:cs="Times New Roman"/>
          <w:sz w:val="24"/>
          <w:szCs w:val="24"/>
        </w:rPr>
        <w:t>MoF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 были вовлечены в процесс от разработки до участия. До начала </w:t>
      </w:r>
      <w:r w:rsidR="00D4454B" w:rsidRPr="006B46C7">
        <w:rPr>
          <w:rFonts w:ascii="Times New Roman" w:hAnsi="Times New Roman" w:cs="Times New Roman"/>
          <w:sz w:val="24"/>
          <w:szCs w:val="24"/>
          <w:lang w:val="ru-RU"/>
        </w:rPr>
        <w:t>фактических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выплат оба ведомства совместно работали над подготовкой соответствующей документации и шаблонов для заявки на </w:t>
      </w:r>
      <w:r w:rsidR="001E0C08">
        <w:rPr>
          <w:rFonts w:ascii="Times New Roman" w:hAnsi="Times New Roman" w:cs="Times New Roman"/>
          <w:sz w:val="24"/>
          <w:szCs w:val="24"/>
          <w:lang w:val="ru-RU"/>
        </w:rPr>
        <w:t>получение заемных средств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F2FC8B0" w14:textId="22B4C05B" w:rsidR="001B0301" w:rsidRPr="006B46C7" w:rsidRDefault="004D2C53" w:rsidP="006B46C7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Отдел выплат страхового возмещения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BFG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руководил имитацией в течение семи рабочих дней (в режиме реального времени). В ходе моделирования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BFG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подготовил проект заявки на получение </w:t>
      </w:r>
      <w:r w:rsidR="007C263E">
        <w:rPr>
          <w:rFonts w:ascii="Times New Roman" w:hAnsi="Times New Roman" w:cs="Times New Roman"/>
          <w:sz w:val="24"/>
          <w:szCs w:val="24"/>
          <w:lang w:val="ru-RU"/>
        </w:rPr>
        <w:t>заемных средств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направил его в </w:t>
      </w:r>
      <w:r w:rsidR="007C263E" w:rsidRPr="006B46C7">
        <w:rPr>
          <w:rFonts w:ascii="Times New Roman" w:hAnsi="Times New Roman" w:cs="Times New Roman"/>
          <w:sz w:val="24"/>
          <w:szCs w:val="24"/>
          <w:lang w:val="ru-RU"/>
        </w:rPr>
        <w:t>Министерство финансов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. Министерство пришло к выводу, что объем предоставленной информации (сумма, дата выплаты страхового возмещения, процентная ставка, залог, принципы погашения кредита, обоснование заявки и т. д.) был достаточным, и после тщательной оценки одобрило заявку.</w:t>
      </w:r>
    </w:p>
    <w:p w14:paraId="3732C0CF" w14:textId="4F06DD53" w:rsidR="001B0301" w:rsidRPr="006B46C7" w:rsidRDefault="004D2C53" w:rsidP="006B46C7">
      <w:pPr>
        <w:pStyle w:val="11"/>
        <w:spacing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в рамках </w:t>
      </w:r>
      <w:r w:rsidR="007C263E">
        <w:rPr>
          <w:rFonts w:ascii="Times New Roman" w:hAnsi="Times New Roman" w:cs="Times New Roman"/>
          <w:sz w:val="24"/>
          <w:szCs w:val="24"/>
          <w:lang w:val="ru-RU"/>
        </w:rPr>
        <w:t>тестирования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были проверены отдельные процедуры, связанные с выплатой страхового возмещения, в том числе:</w:t>
      </w:r>
    </w:p>
    <w:p w14:paraId="311B99DF" w14:textId="77777777" w:rsidR="001B0301" w:rsidRPr="006B46C7" w:rsidRDefault="004D2C53" w:rsidP="00A60168">
      <w:pPr>
        <w:pStyle w:val="11"/>
        <w:numPr>
          <w:ilvl w:val="0"/>
          <w:numId w:val="5"/>
        </w:numPr>
        <w:tabs>
          <w:tab w:val="left" w:pos="426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7" w:name="bookmark153"/>
      <w:bookmarkEnd w:id="117"/>
      <w:r w:rsidRPr="006B46C7">
        <w:rPr>
          <w:rFonts w:ascii="Times New Roman" w:hAnsi="Times New Roman" w:cs="Times New Roman"/>
          <w:sz w:val="24"/>
          <w:szCs w:val="24"/>
          <w:lang w:val="ru-RU"/>
        </w:rPr>
        <w:t>внутренние процедуры, касающиеся процесса выплаты страхового возмещения</w:t>
      </w:r>
    </w:p>
    <w:p w14:paraId="0AEABD3B" w14:textId="1A553E0B" w:rsidR="001B0301" w:rsidRPr="006B46C7" w:rsidRDefault="004D2C53" w:rsidP="00A60168">
      <w:pPr>
        <w:pStyle w:val="11"/>
        <w:numPr>
          <w:ilvl w:val="0"/>
          <w:numId w:val="5"/>
        </w:numPr>
        <w:tabs>
          <w:tab w:val="left" w:pos="426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8" w:name="bookmark154"/>
      <w:bookmarkEnd w:id="118"/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файлы </w:t>
      </w:r>
      <w:r w:rsidR="00DF1B2B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формата </w:t>
      </w:r>
      <w:r w:rsidRPr="006B46C7">
        <w:rPr>
          <w:rFonts w:ascii="Times New Roman" w:hAnsi="Times New Roman" w:cs="Times New Roman"/>
          <w:sz w:val="24"/>
          <w:szCs w:val="24"/>
        </w:rPr>
        <w:t>SCV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проверенных организаций</w:t>
      </w:r>
    </w:p>
    <w:p w14:paraId="6A6A4344" w14:textId="77777777" w:rsidR="001B0301" w:rsidRPr="006B46C7" w:rsidRDefault="004D2C53" w:rsidP="00A60168">
      <w:pPr>
        <w:pStyle w:val="11"/>
        <w:numPr>
          <w:ilvl w:val="0"/>
          <w:numId w:val="5"/>
        </w:numPr>
        <w:tabs>
          <w:tab w:val="left" w:pos="426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bookmarkStart w:id="119" w:name="bookmark155"/>
      <w:bookmarkEnd w:id="119"/>
      <w:r w:rsidRPr="006B46C7">
        <w:rPr>
          <w:rFonts w:ascii="Times New Roman" w:hAnsi="Times New Roman" w:cs="Times New Roman"/>
          <w:sz w:val="24"/>
          <w:szCs w:val="24"/>
        </w:rPr>
        <w:t>соглашения о выплате страхового возмещения</w:t>
      </w:r>
    </w:p>
    <w:p w14:paraId="09A388CF" w14:textId="77777777" w:rsidR="001B0301" w:rsidRDefault="004D2C53" w:rsidP="00A60168">
      <w:pPr>
        <w:pStyle w:val="11"/>
        <w:numPr>
          <w:ilvl w:val="0"/>
          <w:numId w:val="5"/>
        </w:numPr>
        <w:tabs>
          <w:tab w:val="left" w:pos="426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0" w:name="bookmark156"/>
      <w:bookmarkEnd w:id="120"/>
      <w:r w:rsidRPr="006B46C7">
        <w:rPr>
          <w:rFonts w:ascii="Times New Roman" w:hAnsi="Times New Roman" w:cs="Times New Roman"/>
          <w:sz w:val="24"/>
          <w:szCs w:val="24"/>
          <w:lang w:val="ru-RU"/>
        </w:rPr>
        <w:t>аутсорсинг обработки персональных данных, заключенный с банками-агентами</w:t>
      </w:r>
    </w:p>
    <w:p w14:paraId="5AA2828E" w14:textId="1BC29845" w:rsidR="00A60168" w:rsidRDefault="00A60168" w:rsidP="00A60168">
      <w:pPr>
        <w:pStyle w:val="afb"/>
        <w:numPr>
          <w:ilvl w:val="0"/>
          <w:numId w:val="5"/>
        </w:numPr>
        <w:tabs>
          <w:tab w:val="left" w:pos="426"/>
        </w:tabs>
        <w:ind w:left="0"/>
        <w:rPr>
          <w:rFonts w:ascii="Times New Roman" w:eastAsia="Segoe UI" w:hAnsi="Times New Roman" w:cs="Times New Roman"/>
          <w:lang w:val="ru-RU"/>
        </w:rPr>
      </w:pPr>
      <w:r w:rsidRPr="00A60168">
        <w:rPr>
          <w:rFonts w:ascii="Times New Roman" w:eastAsia="Segoe UI" w:hAnsi="Times New Roman" w:cs="Times New Roman"/>
          <w:lang w:val="ru-RU"/>
        </w:rPr>
        <w:t xml:space="preserve">текущие данные о доступных источниках финансирования BFG. </w:t>
      </w:r>
    </w:p>
    <w:p w14:paraId="5C401751" w14:textId="77777777" w:rsidR="00A60168" w:rsidRDefault="00A60168" w:rsidP="00A60168">
      <w:pPr>
        <w:rPr>
          <w:rFonts w:ascii="Times New Roman" w:eastAsia="Segoe UI" w:hAnsi="Times New Roman" w:cs="Times New Roman"/>
          <w:lang w:val="ru-RU"/>
        </w:rPr>
      </w:pPr>
    </w:p>
    <w:p w14:paraId="13586277" w14:textId="1A983543" w:rsidR="00A60168" w:rsidRDefault="00A60168" w:rsidP="00A60168">
      <w:pPr>
        <w:jc w:val="both"/>
        <w:rPr>
          <w:rFonts w:ascii="Times New Roman" w:eastAsia="Segoe UI" w:hAnsi="Times New Roman" w:cs="Times New Roman"/>
          <w:lang w:val="ru-RU"/>
        </w:rPr>
      </w:pPr>
      <w:r w:rsidRPr="00A60168">
        <w:rPr>
          <w:rFonts w:ascii="Times New Roman" w:eastAsia="Segoe UI" w:hAnsi="Times New Roman" w:cs="Times New Roman"/>
          <w:lang w:val="ru-RU"/>
        </w:rPr>
        <w:t>Моделирование подтвердило, что BFG может быстро получить доступ и обеспечить внешнее финансирование в установленные законом сроки. Все остальные аспекты процесса выплат также были успешно реализованы.</w:t>
      </w:r>
    </w:p>
    <w:p w14:paraId="6C41399E" w14:textId="77777777" w:rsidR="00A60168" w:rsidRDefault="00A60168" w:rsidP="00A60168">
      <w:pPr>
        <w:rPr>
          <w:rFonts w:ascii="Times New Roman" w:eastAsia="Segoe UI" w:hAnsi="Times New Roman" w:cs="Times New Roman"/>
          <w:lang w:val="ru-RU"/>
        </w:rPr>
      </w:pPr>
    </w:p>
    <w:p w14:paraId="1D4C490D" w14:textId="77777777" w:rsidR="00A60168" w:rsidRPr="00A60168" w:rsidRDefault="00A60168" w:rsidP="00A60168">
      <w:pPr>
        <w:rPr>
          <w:rFonts w:ascii="Times New Roman" w:eastAsia="Segoe UI" w:hAnsi="Times New Roman" w:cs="Times New Roman"/>
          <w:lang w:val="ru-RU"/>
        </w:rPr>
      </w:pPr>
    </w:p>
    <w:p w14:paraId="5457E590" w14:textId="535AAB3F" w:rsidR="001B0301" w:rsidRPr="006B46C7" w:rsidRDefault="00A60168" w:rsidP="006B46C7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1" w:name="bookmark157"/>
      <w:bookmarkEnd w:id="121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Вызовы</w:t>
      </w:r>
      <w:r w:rsidR="004D2C53"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выводы</w:t>
      </w:r>
    </w:p>
    <w:p w14:paraId="4B0EB388" w14:textId="2BEEDBDB" w:rsidR="00BD28A0" w:rsidRPr="006B46C7" w:rsidRDefault="000B5403" w:rsidP="00126695">
      <w:pPr>
        <w:pStyle w:val="11"/>
        <w:pBdr>
          <w:bottom w:val="single" w:sz="4" w:space="0" w:color="auto"/>
        </w:pBdr>
        <w:spacing w:after="7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BFG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не столкнулась с серьезными препятствиями при разработке и проведении учений. Этап планирования был более длительным в связи с расширением масштабов и привлечением внешних заинтересованных сторон. Среди ключевых моментов можно выделить нехватку возможностей у службы доверия </w:t>
      </w:r>
      <w:r>
        <w:rPr>
          <w:rFonts w:ascii="Times New Roman" w:hAnsi="Times New Roman" w:cs="Times New Roman"/>
          <w:sz w:val="24"/>
          <w:szCs w:val="24"/>
          <w:lang w:val="ru-RU"/>
        </w:rPr>
        <w:t>BFG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для обработки большого количества звонков после </w:t>
      </w:r>
      <w:r w:rsidR="00A60168" w:rsidRPr="006B46C7">
        <w:rPr>
          <w:rFonts w:ascii="Times New Roman" w:hAnsi="Times New Roman" w:cs="Times New Roman"/>
          <w:sz w:val="24"/>
          <w:szCs w:val="24"/>
          <w:lang w:val="ru-RU"/>
        </w:rPr>
        <w:t>банкротства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крупного банка, а у отдела по работе с жалобами </w:t>
      </w:r>
      <w:r w:rsidR="00A6016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для обработки большого количества обращений клиентов после выплат. Впоследствии были разработаны решения для передачи этих услуг внешней компании, а также для записи голосовых сообщений с важной информацией о процессе выплаты страхового возмещения. </w:t>
      </w:r>
      <w:r w:rsidR="00DF1B2B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Важным 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достижением этой работы стало заключение рамочного соглашения между </w:t>
      </w:r>
      <w:r>
        <w:rPr>
          <w:rFonts w:ascii="Times New Roman" w:hAnsi="Times New Roman" w:cs="Times New Roman"/>
          <w:sz w:val="24"/>
          <w:szCs w:val="24"/>
          <w:lang w:val="ru-RU"/>
        </w:rPr>
        <w:t>BFG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государственным казначейством о предоставлении </w:t>
      </w:r>
      <w:r w:rsidR="00A60168">
        <w:rPr>
          <w:rFonts w:ascii="Times New Roman" w:hAnsi="Times New Roman" w:cs="Times New Roman"/>
          <w:sz w:val="24"/>
          <w:szCs w:val="24"/>
          <w:lang w:val="ru-RU"/>
        </w:rPr>
        <w:t>заемных средств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BFG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для выполнения </w:t>
      </w:r>
      <w:r w:rsidR="00A60168">
        <w:rPr>
          <w:rFonts w:ascii="Times New Roman" w:hAnsi="Times New Roman" w:cs="Times New Roman"/>
          <w:sz w:val="24"/>
          <w:szCs w:val="24"/>
          <w:lang w:val="ru-RU"/>
        </w:rPr>
        <w:t>возложенных на</w:t>
      </w:r>
      <w:r w:rsidR="00DF1B2B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BFG</w:t>
      </w:r>
      <w:r w:rsidR="00A60168">
        <w:rPr>
          <w:rFonts w:ascii="Times New Roman" w:hAnsi="Times New Roman" w:cs="Times New Roman"/>
          <w:sz w:val="24"/>
          <w:szCs w:val="24"/>
          <w:lang w:val="ru-RU"/>
        </w:rPr>
        <w:t xml:space="preserve"> задач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8EEA8B1" w14:textId="2E3DF4A7" w:rsidR="001B0301" w:rsidRPr="006B46C7" w:rsidRDefault="00BD28A0" w:rsidP="006B46C7">
      <w:pPr>
        <w:rPr>
          <w:rFonts w:ascii="Times New Roman" w:hAnsi="Times New Roman" w:cs="Times New Roman"/>
          <w:lang w:val="ru-RU"/>
        </w:rPr>
      </w:pPr>
      <w:r w:rsidRPr="006B46C7">
        <w:rPr>
          <w:rFonts w:ascii="Times New Roman" w:hAnsi="Times New Roman" w:cs="Times New Roman"/>
          <w:lang w:val="ru-RU"/>
        </w:rPr>
        <w:br w:type="page"/>
      </w:r>
    </w:p>
    <w:p w14:paraId="0E0A49AB" w14:textId="4F348B0E" w:rsidR="001B0301" w:rsidRDefault="00186471" w:rsidP="00186471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  <w:bookmarkStart w:id="122" w:name="bookmark161"/>
      <w:bookmarkStart w:id="123" w:name="bookmark159"/>
      <w:bookmarkStart w:id="124" w:name="bookmark160"/>
      <w:bookmarkStart w:id="125" w:name="bookmark162"/>
      <w:bookmarkStart w:id="126" w:name="bookmark158"/>
      <w:bookmarkStart w:id="127" w:name="_Toc206774061"/>
      <w:bookmarkEnd w:id="122"/>
      <w:r w:rsidRPr="00186471">
        <w:rPr>
          <w:rFonts w:ascii="Times New Roman" w:hAnsi="Times New Roman" w:cs="Times New Roman"/>
          <w:sz w:val="28"/>
          <w:szCs w:val="28"/>
          <w:lang w:val="ru-RU"/>
        </w:rPr>
        <w:t xml:space="preserve">4.2.2. </w:t>
      </w:r>
      <w:r w:rsidR="004D2C53" w:rsidRPr="00186471">
        <w:rPr>
          <w:rFonts w:ascii="Times New Roman" w:hAnsi="Times New Roman" w:cs="Times New Roman"/>
          <w:sz w:val="28"/>
          <w:szCs w:val="28"/>
          <w:lang w:val="ru-RU"/>
        </w:rPr>
        <w:t xml:space="preserve">Применение </w:t>
      </w:r>
      <w:r w:rsidR="00126695" w:rsidRPr="00186471">
        <w:rPr>
          <w:rFonts w:ascii="Times New Roman" w:hAnsi="Times New Roman" w:cs="Times New Roman"/>
          <w:sz w:val="28"/>
          <w:szCs w:val="28"/>
          <w:lang w:val="ru-RU"/>
        </w:rPr>
        <w:t>полученных данных</w:t>
      </w:r>
      <w:r w:rsidR="004D2C53" w:rsidRPr="00186471">
        <w:rPr>
          <w:rFonts w:ascii="Times New Roman" w:hAnsi="Times New Roman" w:cs="Times New Roman"/>
          <w:sz w:val="28"/>
          <w:szCs w:val="28"/>
          <w:lang w:val="ru-RU"/>
        </w:rPr>
        <w:t xml:space="preserve"> в реальной жизни</w:t>
      </w:r>
      <w:bookmarkEnd w:id="123"/>
      <w:bookmarkEnd w:id="124"/>
      <w:bookmarkEnd w:id="125"/>
      <w:bookmarkEnd w:id="126"/>
      <w:bookmarkEnd w:id="127"/>
    </w:p>
    <w:p w14:paraId="617D621A" w14:textId="77777777" w:rsidR="00186471" w:rsidRPr="00186471" w:rsidRDefault="00186471" w:rsidP="00186471">
      <w:pPr>
        <w:rPr>
          <w:lang w:val="ru-RU"/>
        </w:rPr>
      </w:pPr>
    </w:p>
    <w:p w14:paraId="59C64038" w14:textId="1635A635" w:rsidR="00A33E18" w:rsidRPr="006B46C7" w:rsidRDefault="00753CFF">
      <w:pPr>
        <w:pStyle w:val="11"/>
        <w:spacing w:after="5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Почти в 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60 % юрисдикций, попавших в выборку исследования,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возникали ситуации банкротства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банка в течение последних 10 лет. Отвечая на вопрос о своем опыте, эти </w:t>
      </w:r>
      <w:hyperlink w:anchor="bookmark42" w:tooltip="Current Document">
        <w:r w:rsidR="004D2C53" w:rsidRPr="006B46C7">
          <w:rPr>
            <w:rFonts w:ascii="Times New Roman" w:hAnsi="Times New Roman" w:cs="Times New Roman"/>
            <w:sz w:val="24"/>
            <w:szCs w:val="24"/>
            <w:lang w:val="ru-RU"/>
          </w:rPr>
          <w:t>организации</w:t>
        </w:r>
        <w:r w:rsidR="004D2C53"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44"/>
        </w:r>
      </w:hyperlink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отметили, что, </w:t>
      </w:r>
      <w:r w:rsidR="00B85903" w:rsidRPr="006B46C7">
        <w:rPr>
          <w:rFonts w:ascii="Times New Roman" w:hAnsi="Times New Roman" w:cs="Times New Roman"/>
          <w:sz w:val="24"/>
          <w:szCs w:val="24"/>
          <w:lang w:val="ru-RU"/>
        </w:rPr>
        <w:t>участие в тестовых учениях существенно повысило эффективность их антикризисного реагирования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bookmarkStart w:id="128" w:name="bookmark163"/>
    <w:p w14:paraId="3C070684" w14:textId="2335F85A" w:rsidR="001B0301" w:rsidRPr="006B46C7" w:rsidRDefault="00F779F0">
      <w:pPr>
        <w:pStyle w:val="11"/>
        <w:pBdr>
          <w:top w:val="single" w:sz="4" w:space="0" w:color="auto"/>
          <w:bottom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579EC5" wp14:editId="4806D372">
                <wp:simplePos x="0" y="0"/>
                <wp:positionH relativeFrom="column">
                  <wp:posOffset>2688246</wp:posOffset>
                </wp:positionH>
                <wp:positionV relativeFrom="paragraph">
                  <wp:posOffset>1869066</wp:posOffset>
                </wp:positionV>
                <wp:extent cx="927337" cy="232624"/>
                <wp:effectExtent l="12700" t="12700" r="12700" b="2159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7337" cy="23262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8496B1" id="Straight Connector 2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65pt,147.15pt" to="284.65pt,1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" strokecolor="#a5a5a5 [3206]" strokeweight="1.5pt">
                <v:stroke joinstyle="miter"/>
              </v:line>
            </w:pict>
          </mc:Fallback>
        </mc:AlternateContent>
      </w:r>
      <w:r w:rsidRPr="006B46C7"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ADADD7" wp14:editId="48911248">
                <wp:simplePos x="0" y="0"/>
                <wp:positionH relativeFrom="column">
                  <wp:posOffset>1957699</wp:posOffset>
                </wp:positionH>
                <wp:positionV relativeFrom="paragraph">
                  <wp:posOffset>702685</wp:posOffset>
                </wp:positionV>
                <wp:extent cx="444310" cy="273364"/>
                <wp:effectExtent l="12700" t="12700" r="1333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310" cy="27336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638B79" id="Straight Connector 2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15pt,55.35pt" to="189.15pt,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" strokecolor="#a5a5a5 [3206]" strokeweight="1.5pt">
                <v:stroke joinstyle="miter"/>
              </v:line>
            </w:pict>
          </mc:Fallback>
        </mc:AlternateContent>
      </w:r>
      <w:r w:rsidR="002C20E3" w:rsidRPr="006B46C7"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anchor distT="254000" distB="146050" distL="225425" distR="734695" simplePos="0" relativeHeight="125829401" behindDoc="0" locked="0" layoutInCell="1" allowOverlap="1" wp14:anchorId="7ABFC44C" wp14:editId="389228C9">
            <wp:simplePos x="0" y="0"/>
            <wp:positionH relativeFrom="page">
              <wp:posOffset>3016250</wp:posOffset>
            </wp:positionH>
            <wp:positionV relativeFrom="paragraph">
              <wp:posOffset>448945</wp:posOffset>
            </wp:positionV>
            <wp:extent cx="1725295" cy="1701800"/>
            <wp:effectExtent l="0" t="0" r="1905" b="0"/>
            <wp:wrapTopAndBottom/>
            <wp:docPr id="36" name="Shap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Shape 36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C20E3" w:rsidRPr="006B46C7"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3046C9E" wp14:editId="6DCD68D1">
                <wp:simplePos x="0" y="0"/>
                <wp:positionH relativeFrom="page">
                  <wp:posOffset>2563738</wp:posOffset>
                </wp:positionH>
                <wp:positionV relativeFrom="paragraph">
                  <wp:posOffset>471947</wp:posOffset>
                </wp:positionV>
                <wp:extent cx="559667" cy="313690"/>
                <wp:effectExtent l="0" t="0" r="0" b="0"/>
                <wp:wrapNone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667" cy="313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A3A33A" w14:textId="5070F2EE" w:rsidR="00801394" w:rsidRDefault="00801394">
                            <w:pPr>
                              <w:pStyle w:val="ad"/>
                            </w:pPr>
                            <w:r>
                              <w:rPr>
                                <w:lang w:val="ru-RU"/>
                              </w:rPr>
                              <w:t>Никогда</w:t>
                            </w:r>
                          </w:p>
                          <w:p w14:paraId="24B9CC8D" w14:textId="77777777" w:rsidR="00801394" w:rsidRDefault="00801394">
                            <w:pPr>
                              <w:pStyle w:val="ad"/>
                            </w:pPr>
                            <w:r>
                              <w:t>27%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046C9E" id="Shape 38" o:spid="_x0000_s1027" type="#_x0000_t202" style="position:absolute;left:0;text-align:left;margin-left:201.85pt;margin-top:37.15pt;width:44.05pt;height:24.7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" filled="f" stroked="f">
                <v:textbox inset="0,0,0,0">
                  <w:txbxContent>
                    <w:p w14:paraId="54A3A33A" w14:textId="5070F2EE" w:rsidR="00801394" w:rsidRDefault="00801394">
                      <w:pPr>
                        <w:pStyle w:val="ad"/>
                      </w:pPr>
                      <w:r>
                        <w:rPr>
                          <w:lang w:val="ru-RU"/>
                        </w:rPr>
                        <w:t>Никогда</w:t>
                      </w:r>
                    </w:p>
                    <w:p w14:paraId="24B9CC8D" w14:textId="77777777" w:rsidR="00801394" w:rsidRDefault="00801394">
                      <w:pPr>
                        <w:pStyle w:val="ad"/>
                      </w:pPr>
                      <w:r>
                        <w:t>27%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2C53" w:rsidRPr="006B46C7">
        <w:rPr>
          <w:rFonts w:ascii="Times New Roman" w:hAnsi="Times New Roman" w:cs="Times New Roman"/>
          <w:b/>
          <w:bCs/>
          <w:color w:val="1E2E8B"/>
          <w:sz w:val="24"/>
          <w:szCs w:val="24"/>
          <w:lang w:val="ru-RU"/>
        </w:rPr>
        <w:t xml:space="preserve">Рисунок 7 - Годы, прошедшие с момента последнего </w:t>
      </w:r>
      <w:r w:rsidR="006E021B" w:rsidRPr="006E021B">
        <w:rPr>
          <w:rFonts w:ascii="Times New Roman" w:hAnsi="Times New Roman" w:cs="Times New Roman"/>
          <w:b/>
          <w:bCs/>
          <w:color w:val="1E2E8B"/>
          <w:sz w:val="24"/>
          <w:szCs w:val="24"/>
          <w:lang w:val="ru-RU"/>
        </w:rPr>
        <w:t>банкротства</w:t>
      </w:r>
      <w:r w:rsidR="00A33E18" w:rsidRPr="006B46C7">
        <w:rPr>
          <w:rFonts w:ascii="Times New Roman" w:hAnsi="Times New Roman" w:cs="Times New Roman"/>
          <w:b/>
          <w:bCs/>
          <w:color w:val="1E2E8B"/>
          <w:sz w:val="24"/>
          <w:szCs w:val="24"/>
          <w:lang w:val="ru-RU"/>
        </w:rPr>
        <w:t xml:space="preserve"> банка</w:t>
      </w:r>
      <w:bookmarkEnd w:id="128"/>
    </w:p>
    <w:p w14:paraId="7491C2E7" w14:textId="6ACD6B73" w:rsidR="001B0301" w:rsidRPr="006B46C7" w:rsidRDefault="004D2C53">
      <w:pPr>
        <w:spacing w:line="1" w:lineRule="exact"/>
        <w:rPr>
          <w:rFonts w:ascii="Times New Roman" w:hAnsi="Times New Roman" w:cs="Times New Roman"/>
          <w:lang w:val="ru-RU"/>
        </w:rPr>
      </w:pPr>
      <w:r w:rsidRPr="006B46C7">
        <w:rPr>
          <w:rFonts w:ascii="Times New Roman" w:hAnsi="Times New Roman" w:cs="Times New Roman"/>
          <w:noProof/>
          <w:lang w:val="ru-RU" w:eastAsia="ru-RU" w:bidi="ar-SA"/>
        </w:rPr>
        <mc:AlternateContent>
          <mc:Choice Requires="wps">
            <w:drawing>
              <wp:anchor distT="1607185" distB="204470" distL="0" distR="0" simplePos="0" relativeHeight="125829399" behindDoc="0" locked="0" layoutInCell="1" allowOverlap="1" wp14:anchorId="16019E24" wp14:editId="0609858E">
                <wp:simplePos x="0" y="0"/>
                <wp:positionH relativeFrom="page">
                  <wp:posOffset>2292350</wp:posOffset>
                </wp:positionH>
                <wp:positionV relativeFrom="paragraph">
                  <wp:posOffset>1607185</wp:posOffset>
                </wp:positionV>
                <wp:extent cx="908050" cy="313690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13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93EE08" w14:textId="4C57273A" w:rsidR="00801394" w:rsidRDefault="00801394">
                            <w:pPr>
                              <w:pStyle w:val="22"/>
                              <w:spacing w:after="0"/>
                            </w:pPr>
                            <w:r>
                              <w:rPr>
                                <w:lang w:val="ru-RU"/>
                              </w:rPr>
                              <w:t>Более 10 лет</w:t>
                            </w:r>
                          </w:p>
                          <w:p w14:paraId="5F1FA6B6" w14:textId="77777777" w:rsidR="00801394" w:rsidRDefault="00801394">
                            <w:pPr>
                              <w:pStyle w:val="22"/>
                              <w:spacing w:after="0"/>
                              <w:ind w:firstLine="600"/>
                            </w:pPr>
                            <w:r>
                              <w:t>13%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019E24" id="Shape 34" o:spid="_x0000_s1028" type="#_x0000_t202" style="position:absolute;margin-left:180.5pt;margin-top:126.55pt;width:71.5pt;height:24.7pt;z-index:125829399;visibility:visible;mso-wrap-style:square;mso-wrap-distance-left:0;mso-wrap-distance-top:126.55pt;mso-wrap-distance-right:0;mso-wrap-distance-bottom:16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" filled="f" stroked="f">
                <v:textbox inset="0,0,0,0">
                  <w:txbxContent>
                    <w:p w14:paraId="6D93EE08" w14:textId="4C57273A" w:rsidR="00801394" w:rsidRDefault="00801394">
                      <w:pPr>
                        <w:pStyle w:val="22"/>
                        <w:spacing w:after="0"/>
                      </w:pPr>
                      <w:r>
                        <w:rPr>
                          <w:lang w:val="ru-RU"/>
                        </w:rPr>
                        <w:t>Более 10 лет</w:t>
                      </w:r>
                    </w:p>
                    <w:p w14:paraId="5F1FA6B6" w14:textId="77777777" w:rsidR="00801394" w:rsidRDefault="00801394">
                      <w:pPr>
                        <w:pStyle w:val="22"/>
                        <w:spacing w:after="0"/>
                        <w:ind w:firstLine="600"/>
                      </w:pPr>
                      <w:r>
                        <w:t>13%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B46C7">
        <w:rPr>
          <w:rFonts w:ascii="Times New Roman" w:hAnsi="Times New Roman" w:cs="Times New Roman"/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72A08E5" wp14:editId="02A41E80">
                <wp:simplePos x="0" y="0"/>
                <wp:positionH relativeFrom="page">
                  <wp:posOffset>4605655</wp:posOffset>
                </wp:positionH>
                <wp:positionV relativeFrom="paragraph">
                  <wp:posOffset>321310</wp:posOffset>
                </wp:positionV>
                <wp:extent cx="875030" cy="313690"/>
                <wp:effectExtent l="0" t="0" r="0" b="0"/>
                <wp:wrapNone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" cy="313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BC8E4A" w14:textId="4688AC78" w:rsidR="00801394" w:rsidRDefault="00801394">
                            <w:pPr>
                              <w:pStyle w:val="ad"/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Менее 5 лет</w:t>
                            </w:r>
                          </w:p>
                          <w:p w14:paraId="40AB89F2" w14:textId="77777777" w:rsidR="00801394" w:rsidRDefault="00801394">
                            <w:pPr>
                              <w:pStyle w:val="ad"/>
                              <w:jc w:val="center"/>
                            </w:pPr>
                            <w:r>
                              <w:t>53%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2A08E5" id="Shape 40" o:spid="_x0000_s1029" type="#_x0000_t202" style="position:absolute;margin-left:362.65pt;margin-top:25.3pt;width:68.9pt;height:24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" filled="f" stroked="f">
                <v:textbox inset="0,0,0,0">
                  <w:txbxContent>
                    <w:p w14:paraId="34BC8E4A" w14:textId="4688AC78" w:rsidR="00801394" w:rsidRDefault="00801394">
                      <w:pPr>
                        <w:pStyle w:val="ad"/>
                        <w:jc w:val="center"/>
                      </w:pPr>
                      <w:r>
                        <w:rPr>
                          <w:lang w:val="ru-RU"/>
                        </w:rPr>
                        <w:t>Менее 5 лет</w:t>
                      </w:r>
                    </w:p>
                    <w:p w14:paraId="40AB89F2" w14:textId="77777777" w:rsidR="00801394" w:rsidRDefault="00801394">
                      <w:pPr>
                        <w:pStyle w:val="ad"/>
                        <w:jc w:val="center"/>
                      </w:pPr>
                      <w:r>
                        <w:t>53%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B46C7">
        <w:rPr>
          <w:rFonts w:ascii="Times New Roman" w:hAnsi="Times New Roman" w:cs="Times New Roman"/>
          <w:noProof/>
          <w:lang w:val="ru-RU" w:eastAsia="ru-RU" w:bidi="ar-SA"/>
        </w:rPr>
        <mc:AlternateContent>
          <mc:Choice Requires="wps">
            <w:drawing>
              <wp:anchor distT="1811655" distB="0" distL="0" distR="0" simplePos="0" relativeHeight="125829402" behindDoc="0" locked="0" layoutInCell="1" allowOverlap="1" wp14:anchorId="6D32B7CA" wp14:editId="4DC1AF6E">
                <wp:simplePos x="0" y="0"/>
                <wp:positionH relativeFrom="page">
                  <wp:posOffset>4605655</wp:posOffset>
                </wp:positionH>
                <wp:positionV relativeFrom="paragraph">
                  <wp:posOffset>1811655</wp:posOffset>
                </wp:positionV>
                <wp:extent cx="542290" cy="313690"/>
                <wp:effectExtent l="0" t="0" r="0" b="0"/>
                <wp:wrapTopAndBottom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313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D2B26D" w14:textId="044D4D9E" w:rsidR="00801394" w:rsidRPr="006B46C7" w:rsidRDefault="00801394">
                            <w:pPr>
                              <w:pStyle w:val="22"/>
                              <w:spacing w:after="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t xml:space="preserve">5-10 </w:t>
                            </w:r>
                            <w:r>
                              <w:rPr>
                                <w:lang w:val="ru-RU"/>
                              </w:rPr>
                              <w:t>лет</w:t>
                            </w:r>
                          </w:p>
                          <w:p w14:paraId="5F13DDEE" w14:textId="77777777" w:rsidR="00801394" w:rsidRDefault="00801394">
                            <w:pPr>
                              <w:pStyle w:val="22"/>
                              <w:spacing w:after="0"/>
                              <w:jc w:val="center"/>
                            </w:pPr>
                            <w:r>
                              <w:t>7%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32B7CA" id="Shape 42" o:spid="_x0000_s1030" type="#_x0000_t202" style="position:absolute;margin-left:362.65pt;margin-top:142.65pt;width:42.7pt;height:24.7pt;z-index:125829402;visibility:visible;mso-wrap-style:square;mso-wrap-distance-left:0;mso-wrap-distance-top:142.6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" filled="f" stroked="f">
                <v:textbox inset="0,0,0,0">
                  <w:txbxContent>
                    <w:p w14:paraId="65D2B26D" w14:textId="044D4D9E" w:rsidR="00801394" w:rsidRPr="006B46C7" w:rsidRDefault="00801394">
                      <w:pPr>
                        <w:pStyle w:val="22"/>
                        <w:spacing w:after="0"/>
                        <w:jc w:val="center"/>
                        <w:rPr>
                          <w:lang w:val="ru-RU"/>
                        </w:rPr>
                      </w:pPr>
                      <w:r>
                        <w:t xml:space="preserve">5-10 </w:t>
                      </w:r>
                      <w:r>
                        <w:rPr>
                          <w:lang w:val="ru-RU"/>
                        </w:rPr>
                        <w:t>лет</w:t>
                      </w:r>
                    </w:p>
                    <w:p w14:paraId="5F13DDEE" w14:textId="77777777" w:rsidR="00801394" w:rsidRDefault="00801394">
                      <w:pPr>
                        <w:pStyle w:val="22"/>
                        <w:spacing w:after="0"/>
                        <w:jc w:val="center"/>
                      </w:pPr>
                      <w:r>
                        <w:t>7%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E83659" w14:textId="753C80BA" w:rsidR="00126695" w:rsidRPr="006B46C7" w:rsidRDefault="004D2C53">
      <w:pPr>
        <w:pStyle w:val="22"/>
        <w:pBdr>
          <w:top w:val="single" w:sz="4" w:space="0" w:color="auto"/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Источник: Опрос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июне 2023 года</w:t>
      </w:r>
    </w:p>
    <w:p w14:paraId="21BE1B56" w14:textId="77777777" w:rsidR="00126695" w:rsidRDefault="00126695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299BC17" w14:textId="32BD5C1F" w:rsidR="00930AD0" w:rsidRPr="00930AD0" w:rsidRDefault="00930AD0">
      <w:pPr>
        <w:pStyle w:val="1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30A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Тестирование может улучшить операционные возможности при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наступлении несостоятельности</w:t>
      </w:r>
    </w:p>
    <w:p w14:paraId="186DBF6F" w14:textId="79630102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Учения позволили участникам пройтись по процессам и процедурам, которые будут выполняться в случае сбоя. Таким образом, сотрудники продемонстрировали более глубокое понимание своих ролей и обязанностей, а также ролей и обязанностей своих бизнес-направлений во время реальных событий. Часто шаблоны и схемы, разработанные и используемые в ходе учений, служат отправной точкой для реагирования на реальные события, что приводит к более своевременным действиям. Опыт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FDIC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борьбе с банкротствами 2023 года показал, что учения повысили способность быстро принимать решения и применять такие инструменты урегулирования несостоятельности, как замена руководства обанкротившегося банка, создание </w:t>
      </w:r>
      <w:r w:rsidR="0031781B" w:rsidRPr="006B46C7">
        <w:rPr>
          <w:rFonts w:ascii="Times New Roman" w:hAnsi="Times New Roman" w:cs="Times New Roman"/>
          <w:sz w:val="24"/>
          <w:szCs w:val="24"/>
          <w:lang w:val="ru-RU"/>
        </w:rPr>
        <w:t>временного «переходного» банка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, обеспечение ликвидности и поддержание операционной непрерывности, включая коммуникации и кадровые перестановки.</w:t>
      </w:r>
    </w:p>
    <w:p w14:paraId="4555C0E4" w14:textId="6D5C7740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Тестирование также повысило операционные возможности страховщиков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условиях реального кризиса. Учения дают возможность респондентам выявить недостатки и возможности, которые не были бы обнаружены в противном случае. В ходе моделирования в 2019 году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IPAB</w:t>
      </w:r>
      <w:r w:rsidR="00930AD0">
        <w:rPr>
          <w:rFonts w:ascii="Times New Roman" w:hAnsi="Times New Roman" w:cs="Times New Roman"/>
          <w:sz w:val="24"/>
          <w:szCs w:val="24"/>
          <w:lang w:val="ru-RU"/>
        </w:rPr>
        <w:t>-Мексика обнаружил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необходимость внедрения процесса выплаты страхового возмещения через банк-агент в связи со сложностью выплаты возмещения большому количеству вкладчиков по всей стране. Совместно с банком-агентом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IPAB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разработал несколько новых процессов выплат (чеки, платежные поручения, электронные переводы и снятие денег без карты в банкоматах), которые использовались для двух банков, потерпевших </w:t>
      </w:r>
      <w:r w:rsidR="00930AD0">
        <w:rPr>
          <w:rFonts w:ascii="Times New Roman" w:hAnsi="Times New Roman" w:cs="Times New Roman"/>
          <w:sz w:val="24"/>
          <w:szCs w:val="24"/>
          <w:lang w:val="ru-RU"/>
        </w:rPr>
        <w:t>крах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2020 и 2021 годах. В ходе тестирования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IPAB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также выявил возможность разработки электронной платформы, которая может управлять рабочим процессом мероприятий по связям с общественностью. Новая система управления позволила сократить время реагирования с почти одного месяца до менее чем одного выходного дня и повысить качество продуктов по информированию населения во время </w:t>
      </w:r>
      <w:r w:rsidR="00930AD0">
        <w:rPr>
          <w:rFonts w:ascii="Times New Roman" w:hAnsi="Times New Roman" w:cs="Times New Roman"/>
          <w:sz w:val="24"/>
          <w:szCs w:val="24"/>
          <w:lang w:val="ru-RU"/>
        </w:rPr>
        <w:t>кризиса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2021 году.</w:t>
      </w:r>
    </w:p>
    <w:p w14:paraId="05D5D42E" w14:textId="341DE153" w:rsidR="00A33E18" w:rsidRPr="006B46C7" w:rsidRDefault="004D2C53" w:rsidP="00A33E18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A33E18" w:rsidRPr="006B46C7">
          <w:pgSz w:w="12240" w:h="15840"/>
          <w:pgMar w:top="856" w:right="1560" w:bottom="646" w:left="1560" w:header="0" w:footer="3" w:gutter="0"/>
          <w:cols w:space="720"/>
          <w:noEndnote/>
          <w:docGrid w:linePitch="360"/>
          <w15:footnoteColumns w:val="1"/>
        </w:sect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случае с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DNB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усовершенствования, внесенные в структуру управления и учебные планы после моделирования, привели к созданию более эффективной и гибкой кризисной организации. Когда кризисная структура была активирована в 2022 году, соответствующие инструменты (например, </w:t>
      </w:r>
      <w:r w:rsidRPr="006B46C7">
        <w:rPr>
          <w:rFonts w:ascii="Times New Roman" w:hAnsi="Times New Roman" w:cs="Times New Roman"/>
          <w:sz w:val="24"/>
          <w:szCs w:val="24"/>
        </w:rPr>
        <w:t>SMS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-уведомление) и средства (возможности создания колл-центра, рабочих мест и платежной системы) были на месте и функционировали бесперебойно. Команды также смогли хорошо сотрудничать между подразделениями, поскольку у них была общая цель </w:t>
      </w:r>
      <w:r w:rsidR="00930AD0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как можно быстрее и точнее выплатить деньги клиентам обанкротившегося банка. После этого события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DNB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осознал важность привлечения сотрудников, не входящих в систему </w:t>
      </w:r>
      <w:r w:rsidR="00BF6B4B">
        <w:rPr>
          <w:rFonts w:ascii="Times New Roman" w:hAnsi="Times New Roman" w:cs="Times New Roman"/>
          <w:sz w:val="24"/>
          <w:szCs w:val="24"/>
          <w:lang w:val="ru-RU"/>
        </w:rPr>
        <w:t>страхования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вкладов (</w:t>
      </w:r>
      <w:r w:rsidR="00BF6B4B">
        <w:rPr>
          <w:rFonts w:ascii="Times New Roman" w:hAnsi="Times New Roman" w:cs="Times New Roman"/>
          <w:sz w:val="24"/>
          <w:szCs w:val="24"/>
          <w:lang w:val="ru-RU"/>
        </w:rPr>
        <w:t>ССВ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), к участию в учениях для более общего понимания ролей и обязанностей, а также поддержки, необходимой при выплате средств в рамках </w:t>
      </w:r>
      <w:r w:rsidR="00BF6B4B">
        <w:rPr>
          <w:rFonts w:ascii="Times New Roman" w:hAnsi="Times New Roman" w:cs="Times New Roman"/>
          <w:sz w:val="24"/>
          <w:szCs w:val="24"/>
          <w:lang w:val="ru-RU"/>
        </w:rPr>
        <w:t>ССВ</w:t>
      </w:r>
      <w:r w:rsidR="00FC1EB6" w:rsidRPr="006B46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739AB05" w14:textId="4BD4FA05" w:rsidR="001B0301" w:rsidRPr="006B46C7" w:rsidRDefault="004D2C53" w:rsidP="00FC1EB6">
      <w:pPr>
        <w:pStyle w:val="11"/>
        <w:spacing w:after="0" w:line="240" w:lineRule="auto"/>
        <w:rPr>
          <w:rFonts w:ascii="Times New Roman" w:hAnsi="Times New Roman" w:cs="Times New Roman"/>
          <w:color w:val="1E2E8B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color w:val="1E2E8B"/>
          <w:sz w:val="24"/>
          <w:szCs w:val="24"/>
          <w:lang w:val="ru-RU"/>
        </w:rPr>
        <w:t xml:space="preserve">Пример </w:t>
      </w:r>
      <w:r w:rsidR="000B5403">
        <w:rPr>
          <w:rFonts w:ascii="Times New Roman" w:hAnsi="Times New Roman" w:cs="Times New Roman"/>
          <w:color w:val="1E2E8B"/>
          <w:sz w:val="24"/>
          <w:szCs w:val="24"/>
          <w:lang w:val="ru-RU"/>
        </w:rPr>
        <w:t>DNB</w:t>
      </w:r>
    </w:p>
    <w:p w14:paraId="74250006" w14:textId="77777777" w:rsidR="00FC1EB6" w:rsidRPr="006B46C7" w:rsidRDefault="00FC1EB6" w:rsidP="006B46C7">
      <w:pPr>
        <w:pStyle w:val="1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A62D580" w14:textId="50599893" w:rsidR="001B0301" w:rsidRPr="006B46C7" w:rsidRDefault="00930AD0" w:rsidP="006B46C7">
      <w:pPr>
        <w:pStyle w:val="11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>Банкротство</w:t>
      </w:r>
      <w:r w:rsidR="004D2C53"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Амстердамского торгового банка (АТБ)</w:t>
      </w:r>
    </w:p>
    <w:p w14:paraId="3CA584EA" w14:textId="1A1BCD2B" w:rsidR="001B0301" w:rsidRPr="006B46C7" w:rsidRDefault="004D2C53" w:rsidP="00EB0660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</w:rPr>
        <w:t>ATB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получил голландскую банковскую лицензию в 1994 году. На момент банкротства у </w:t>
      </w:r>
      <w:r w:rsidRPr="006B46C7">
        <w:rPr>
          <w:rFonts w:ascii="Times New Roman" w:hAnsi="Times New Roman" w:cs="Times New Roman"/>
          <w:sz w:val="24"/>
          <w:szCs w:val="24"/>
        </w:rPr>
        <w:t>ATB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было более 23 000 активных владельцев счетов с депозитами на сумму 673 млн евро, которые покрывались голландской </w:t>
      </w:r>
      <w:r w:rsidR="00BF6B4B">
        <w:rPr>
          <w:rFonts w:ascii="Times New Roman" w:hAnsi="Times New Roman" w:cs="Times New Roman"/>
          <w:sz w:val="24"/>
          <w:szCs w:val="24"/>
          <w:lang w:val="ru-RU"/>
        </w:rPr>
        <w:t>системой страхования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вкладов. Большинство владельцев счетов проживали в Нидерландах, меньшая часть </w:t>
      </w:r>
      <w:r w:rsidR="00930AD0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Германии (более 5 500). Проблемы у банка возникли после </w:t>
      </w:r>
      <w:r w:rsidR="00930AD0">
        <w:rPr>
          <w:rFonts w:ascii="Times New Roman" w:hAnsi="Times New Roman" w:cs="Times New Roman"/>
          <w:sz w:val="24"/>
          <w:szCs w:val="24"/>
          <w:lang w:val="ru-RU"/>
        </w:rPr>
        <w:t>начала Россией СВО на Украине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В ответ на это ЕС, Великобритания и США ввели санкции против России и связанных с ней физических и юридических лиц. Последствия этих санкций ударили по </w:t>
      </w:r>
      <w:r w:rsidRPr="006B46C7">
        <w:rPr>
          <w:rFonts w:ascii="Times New Roman" w:hAnsi="Times New Roman" w:cs="Times New Roman"/>
          <w:sz w:val="24"/>
          <w:szCs w:val="24"/>
        </w:rPr>
        <w:t>ATB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как прямо, так и косвенно, вызвав серьезные </w:t>
      </w:r>
      <w:r w:rsidR="006345FD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случаи </w:t>
      </w:r>
      <w:r w:rsidR="00930AD0" w:rsidRPr="006B46C7">
        <w:rPr>
          <w:rFonts w:ascii="Times New Roman" w:hAnsi="Times New Roman" w:cs="Times New Roman"/>
          <w:sz w:val="24"/>
          <w:szCs w:val="24"/>
          <w:lang w:val="ru-RU"/>
        </w:rPr>
        <w:t>банкротства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его деятельности, что привело к сворачиванию банковского бизнеса. Когда полное свертывание оказалось невозможным, АТБ принял решение подать заявление о банкротстве 22 апреля 2022 года.</w:t>
      </w:r>
    </w:p>
    <w:p w14:paraId="34E8D0C3" w14:textId="433F84C7" w:rsidR="001B0301" w:rsidRPr="006B46C7" w:rsidRDefault="00FC1EB6" w:rsidP="00EB0660">
      <w:pPr>
        <w:pStyle w:val="11"/>
        <w:spacing w:after="5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Центральный банк </w:t>
      </w:r>
      <w:r w:rsidR="00930AD0" w:rsidRPr="006B46C7">
        <w:rPr>
          <w:rFonts w:ascii="Times New Roman" w:hAnsi="Times New Roman" w:cs="Times New Roman"/>
          <w:sz w:val="24"/>
          <w:szCs w:val="24"/>
          <w:lang w:val="ru-RU"/>
        </w:rPr>
        <w:t>Нидерландов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DNB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орган </w:t>
      </w:r>
      <w:r w:rsidR="00BF6B4B">
        <w:rPr>
          <w:rFonts w:ascii="Times New Roman" w:hAnsi="Times New Roman" w:cs="Times New Roman"/>
          <w:sz w:val="24"/>
          <w:szCs w:val="24"/>
          <w:lang w:val="ru-RU"/>
        </w:rPr>
        <w:t>ССВ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Нидерландах) и Фонд </w:t>
      </w:r>
      <w:r w:rsidR="00BF6B4B">
        <w:rPr>
          <w:rFonts w:ascii="Times New Roman" w:hAnsi="Times New Roman" w:cs="Times New Roman"/>
          <w:sz w:val="24"/>
          <w:szCs w:val="24"/>
          <w:lang w:val="ru-RU"/>
        </w:rPr>
        <w:t>страхования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вкладов (</w:t>
      </w:r>
      <w:r w:rsidR="00BF6B4B">
        <w:rPr>
          <w:rFonts w:ascii="Times New Roman" w:hAnsi="Times New Roman" w:cs="Times New Roman"/>
          <w:sz w:val="24"/>
          <w:szCs w:val="24"/>
          <w:lang w:val="ru-RU"/>
        </w:rPr>
        <w:t>ФС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отдельное юридическое лицо) выплатили компенсацию владельцам счетов АТБ в течение трех рабочих дней после банкротства. Это укладывалось в установленный законом срок возврата средств в 10 рабочих дней, который действовал в 2022 году. В течение месяца после банкротства было выплачено 95 % \ € 641 млн) от общей суммы </w:t>
      </w:r>
      <w:r w:rsidR="00BF6B4B">
        <w:rPr>
          <w:rFonts w:ascii="Times New Roman" w:hAnsi="Times New Roman" w:cs="Times New Roman"/>
          <w:sz w:val="24"/>
          <w:szCs w:val="24"/>
          <w:lang w:val="ru-RU"/>
        </w:rPr>
        <w:t>застрахованных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вкладов. Более 200 сотрудников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DNB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были задействованы в выплате </w:t>
      </w:r>
      <w:r w:rsidR="00BF6B4B">
        <w:rPr>
          <w:rFonts w:ascii="Times New Roman" w:hAnsi="Times New Roman" w:cs="Times New Roman"/>
          <w:sz w:val="24"/>
          <w:szCs w:val="24"/>
          <w:lang w:val="ru-RU"/>
        </w:rPr>
        <w:t>ССВ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чтобы вкладчики могли получить доступ к своим вкладам. В сентябре 2022 года </w:t>
      </w:r>
      <w:hyperlink w:anchor="bookmark167" w:tooltip="Current Document">
        <w:r w:rsidR="004D2C53" w:rsidRPr="006B46C7">
          <w:rPr>
            <w:rFonts w:ascii="Times New Roman" w:hAnsi="Times New Roman" w:cs="Times New Roman"/>
            <w:sz w:val="24"/>
            <w:szCs w:val="24"/>
            <w:lang w:val="ru-RU"/>
          </w:rPr>
          <w:t>организация</w:t>
        </w:r>
        <w:r w:rsidR="00BF6B4B">
          <w:rPr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proofErr w:type="gramStart"/>
        <w:r w:rsidR="00BF6B4B">
          <w:rPr>
            <w:rFonts w:ascii="Times New Roman" w:hAnsi="Times New Roman" w:cs="Times New Roman"/>
            <w:sz w:val="24"/>
            <w:szCs w:val="24"/>
            <w:lang w:val="ru-RU"/>
          </w:rPr>
          <w:t>ССВ</w:t>
        </w:r>
        <w:r w:rsidRPr="006B46C7">
          <w:rPr>
            <w:rStyle w:val="af2"/>
            <w:rFonts w:ascii="Times New Roman" w:hAnsi="Times New Roman" w:cs="Times New Roman"/>
            <w:sz w:val="24"/>
            <w:szCs w:val="24"/>
            <w:lang w:val="ru-RU"/>
          </w:rPr>
          <w:footnoteReference w:id="45"/>
        </w:r>
        <w:r w:rsidR="004D2C53" w:rsidRPr="006B46C7">
          <w:rPr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</w:hyperlink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выплат</w:t>
      </w:r>
      <w:proofErr w:type="gramEnd"/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по была сокращена до обычного уровня.</w:t>
      </w:r>
    </w:p>
    <w:p w14:paraId="629D94D1" w14:textId="77777777" w:rsidR="001B0301" w:rsidRPr="006B46C7" w:rsidRDefault="004D2C53" w:rsidP="006B46C7">
      <w:pPr>
        <w:pStyle w:val="11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Тестирование способствовало обеспечению готовности к кризису</w:t>
      </w:r>
    </w:p>
    <w:p w14:paraId="5262F6CF" w14:textId="1F933DBD" w:rsidR="001B0301" w:rsidRPr="006B46C7" w:rsidRDefault="004D2C53" w:rsidP="00EB0660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С 2016 года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DNB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регулярно проводит стресс-тесты для выполнения задачи </w:t>
      </w:r>
      <w:r w:rsidR="00BF6B4B">
        <w:rPr>
          <w:rFonts w:ascii="Times New Roman" w:hAnsi="Times New Roman" w:cs="Times New Roman"/>
          <w:sz w:val="24"/>
          <w:szCs w:val="24"/>
          <w:lang w:val="ru-RU"/>
        </w:rPr>
        <w:t>ССВ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а с 2017 года работает по структурированной программе стресс-тестов. В 2018 году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DNB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провел сквозное моделирование банкротства банка и различных этапов выплаты </w:t>
      </w:r>
      <w:r w:rsidR="00BF6B4B">
        <w:rPr>
          <w:rFonts w:ascii="Times New Roman" w:hAnsi="Times New Roman" w:cs="Times New Roman"/>
          <w:sz w:val="24"/>
          <w:szCs w:val="24"/>
          <w:lang w:val="ru-RU"/>
        </w:rPr>
        <w:t>ССВ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В 2021 году, за год до сбоя АТБ, было проведено более масштабное тестирование всего процесса </w:t>
      </w:r>
      <w:r w:rsidR="00BF6B4B">
        <w:rPr>
          <w:rFonts w:ascii="Times New Roman" w:hAnsi="Times New Roman" w:cs="Times New Roman"/>
          <w:sz w:val="24"/>
          <w:szCs w:val="24"/>
          <w:lang w:val="ru-RU"/>
        </w:rPr>
        <w:t>ССВ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DNB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задействовал участников с той же или схожей ролью во время реальной выплаты (например, советник по коммуникациям в отношении коммуникации </w:t>
      </w:r>
      <w:r w:rsidR="00BF6B4B">
        <w:rPr>
          <w:rFonts w:ascii="Times New Roman" w:hAnsi="Times New Roman" w:cs="Times New Roman"/>
          <w:sz w:val="24"/>
          <w:szCs w:val="24"/>
          <w:lang w:val="ru-RU"/>
        </w:rPr>
        <w:t>ССВ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F5975">
        <w:rPr>
          <w:rFonts w:ascii="Times New Roman" w:hAnsi="Times New Roman" w:cs="Times New Roman"/>
          <w:sz w:val="24"/>
          <w:szCs w:val="24"/>
          <w:lang w:val="ru-RU"/>
        </w:rPr>
        <w:t>высшее руководство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отношении управления </w:t>
      </w:r>
      <w:r w:rsidR="00BF6B4B">
        <w:rPr>
          <w:rFonts w:ascii="Times New Roman" w:hAnsi="Times New Roman" w:cs="Times New Roman"/>
          <w:sz w:val="24"/>
          <w:szCs w:val="24"/>
          <w:lang w:val="ru-RU"/>
        </w:rPr>
        <w:t>ССВ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6B46C7">
        <w:rPr>
          <w:rFonts w:ascii="Times New Roman" w:hAnsi="Times New Roman" w:cs="Times New Roman"/>
          <w:sz w:val="24"/>
          <w:szCs w:val="24"/>
        </w:rPr>
        <w:t>IT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отношении </w:t>
      </w:r>
      <w:r w:rsidRPr="006B46C7">
        <w:rPr>
          <w:rFonts w:ascii="Times New Roman" w:hAnsi="Times New Roman" w:cs="Times New Roman"/>
          <w:sz w:val="24"/>
          <w:szCs w:val="24"/>
        </w:rPr>
        <w:t>SCV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-возможностей).</w:t>
      </w:r>
    </w:p>
    <w:p w14:paraId="571A496F" w14:textId="77777777" w:rsidR="00186471" w:rsidRDefault="004D2C53" w:rsidP="00186471">
      <w:pPr>
        <w:pStyle w:val="11"/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Участники получили возможность отработать свои роли, разработать стандартные шаблоны и документацию, а также внести свой вклад в дальнейшее совершенствование процесса выплат. Эти упражнения подтвердили способность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DNB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осуществлять выплаты по </w:t>
      </w:r>
      <w:r w:rsidR="00BF6B4B">
        <w:rPr>
          <w:rFonts w:ascii="Times New Roman" w:hAnsi="Times New Roman" w:cs="Times New Roman"/>
          <w:sz w:val="24"/>
          <w:szCs w:val="24"/>
          <w:lang w:val="ru-RU"/>
        </w:rPr>
        <w:t>ССВ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соблюдать требуемый период в десять рабочих дней и сокращенный период </w:t>
      </w:r>
      <w:r w:rsidR="00FF5975">
        <w:rPr>
          <w:rFonts w:ascii="Times New Roman" w:hAnsi="Times New Roman" w:cs="Times New Roman"/>
          <w:sz w:val="24"/>
          <w:szCs w:val="24"/>
          <w:lang w:val="ru-RU"/>
        </w:rPr>
        <w:t>выплат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семь рабочих дней (с 1 января 2024 год</w:t>
      </w:r>
      <w:r w:rsidR="00FC1EB6" w:rsidRPr="006B46C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F597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FC1EB6" w:rsidRPr="006B46C7">
        <w:rPr>
          <w:rFonts w:ascii="Times New Roman" w:hAnsi="Times New Roman" w:cs="Times New Roman"/>
          <w:sz w:val="24"/>
          <w:szCs w:val="24"/>
          <w:lang w:val="ru-RU"/>
        </w:rPr>
        <w:t>.</w:t>
      </w:r>
      <w:bookmarkStart w:id="129" w:name="bookmark168"/>
      <w:bookmarkStart w:id="130" w:name="bookmark167"/>
      <w:bookmarkEnd w:id="129"/>
      <w:r w:rsidR="00FC1EB6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131" w:name="bookmark169"/>
      <w:bookmarkEnd w:id="130"/>
      <w:bookmarkEnd w:id="131"/>
    </w:p>
    <w:p w14:paraId="0F1A37BC" w14:textId="26801DA3" w:rsidR="00186471" w:rsidRDefault="00186471" w:rsidP="00186471">
      <w:pPr>
        <w:pStyle w:val="11"/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6471">
        <w:rPr>
          <w:rFonts w:ascii="Times New Roman" w:hAnsi="Times New Roman" w:cs="Times New Roman"/>
          <w:sz w:val="24"/>
          <w:szCs w:val="24"/>
          <w:lang w:val="ru-RU"/>
        </w:rPr>
        <w:t>Во время тестирования работы ССВ в случае ATB стали очевидны преимущества моделирования, тестирования и последующего совершенствования возможностей ССВ:</w:t>
      </w:r>
    </w:p>
    <w:p w14:paraId="5B20FE66" w14:textId="33D9E269" w:rsidR="001B0301" w:rsidRPr="006B46C7" w:rsidRDefault="004D2C53" w:rsidP="001B33EA">
      <w:pPr>
        <w:pStyle w:val="11"/>
        <w:numPr>
          <w:ilvl w:val="0"/>
          <w:numId w:val="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Выплаты </w:t>
      </w:r>
      <w:r w:rsidR="00BF6B4B">
        <w:rPr>
          <w:rFonts w:ascii="Times New Roman" w:hAnsi="Times New Roman" w:cs="Times New Roman"/>
          <w:sz w:val="24"/>
          <w:szCs w:val="24"/>
          <w:lang w:val="ru-RU"/>
        </w:rPr>
        <w:t>ССВ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были быстро </w:t>
      </w:r>
      <w:r w:rsidR="001B33EA">
        <w:rPr>
          <w:rFonts w:ascii="Times New Roman" w:hAnsi="Times New Roman" w:cs="Times New Roman"/>
          <w:sz w:val="24"/>
          <w:szCs w:val="24"/>
          <w:lang w:val="ru-RU"/>
        </w:rPr>
        <w:t>првоедены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функционировали должным образом</w:t>
      </w:r>
    </w:p>
    <w:p w14:paraId="1BCC6EAA" w14:textId="77777777" w:rsidR="001B0301" w:rsidRPr="006B46C7" w:rsidRDefault="004D2C53" w:rsidP="001B33EA">
      <w:pPr>
        <w:pStyle w:val="11"/>
        <w:numPr>
          <w:ilvl w:val="0"/>
          <w:numId w:val="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2" w:name="bookmark170"/>
      <w:bookmarkEnd w:id="132"/>
      <w:r w:rsidRPr="006B46C7">
        <w:rPr>
          <w:rFonts w:ascii="Times New Roman" w:hAnsi="Times New Roman" w:cs="Times New Roman"/>
          <w:sz w:val="24"/>
          <w:szCs w:val="24"/>
          <w:lang w:val="ru-RU"/>
        </w:rPr>
        <w:t>Финансирование было предоставлено оперативно (в течение одного рабочего дня)</w:t>
      </w:r>
    </w:p>
    <w:p w14:paraId="0CBE40E9" w14:textId="77777777" w:rsidR="001B0301" w:rsidRPr="006B46C7" w:rsidRDefault="004D2C53" w:rsidP="001B33EA">
      <w:pPr>
        <w:pStyle w:val="11"/>
        <w:numPr>
          <w:ilvl w:val="0"/>
          <w:numId w:val="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3" w:name="bookmark171"/>
      <w:bookmarkEnd w:id="133"/>
      <w:r w:rsidRPr="006B46C7">
        <w:rPr>
          <w:rFonts w:ascii="Times New Roman" w:hAnsi="Times New Roman" w:cs="Times New Roman"/>
          <w:sz w:val="24"/>
          <w:szCs w:val="24"/>
          <w:lang w:val="ru-RU"/>
        </w:rPr>
        <w:t>Команды выполняли свои задачи эффективно и оперативно (вкладчики могли обратиться за компенсацией на третий рабочий день) благодаря существующим игровым процессам, общим процедурам и стандартизированным продуктам</w:t>
      </w:r>
    </w:p>
    <w:p w14:paraId="79CCD341" w14:textId="77777777" w:rsidR="001B0301" w:rsidRPr="006B46C7" w:rsidRDefault="004D2C53" w:rsidP="001B33EA">
      <w:pPr>
        <w:pStyle w:val="11"/>
        <w:numPr>
          <w:ilvl w:val="0"/>
          <w:numId w:val="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4" w:name="bookmark172"/>
      <w:bookmarkEnd w:id="134"/>
      <w:r w:rsidRPr="006B46C7">
        <w:rPr>
          <w:rFonts w:ascii="Times New Roman" w:hAnsi="Times New Roman" w:cs="Times New Roman"/>
          <w:sz w:val="24"/>
          <w:szCs w:val="24"/>
          <w:lang w:val="ru-RU"/>
        </w:rPr>
        <w:t>Ключевой персонал был достаточно оснащен и знаком со своей ролью и задачами</w:t>
      </w:r>
    </w:p>
    <w:p w14:paraId="41D14FB0" w14:textId="294D7DC3" w:rsidR="001B0301" w:rsidRPr="006B46C7" w:rsidRDefault="004D2C53" w:rsidP="001B33EA">
      <w:pPr>
        <w:pStyle w:val="11"/>
        <w:numPr>
          <w:ilvl w:val="0"/>
          <w:numId w:val="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5" w:name="bookmark173"/>
      <w:bookmarkEnd w:id="135"/>
      <w:r w:rsidRPr="006B46C7">
        <w:rPr>
          <w:rFonts w:ascii="Times New Roman" w:hAnsi="Times New Roman" w:cs="Times New Roman"/>
          <w:sz w:val="24"/>
          <w:szCs w:val="24"/>
        </w:rPr>
        <w:t>SCV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-файл (ежегодно проверяется банками) был передан и эффективно загружен в инструмент выплат </w:t>
      </w:r>
      <w:r w:rsidR="00BF6B4B">
        <w:rPr>
          <w:rFonts w:ascii="Times New Roman" w:hAnsi="Times New Roman" w:cs="Times New Roman"/>
          <w:sz w:val="24"/>
          <w:szCs w:val="24"/>
          <w:lang w:val="ru-RU"/>
        </w:rPr>
        <w:t>ССВ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(разрабатывается и тестируется на постоянной основе).</w:t>
      </w:r>
    </w:p>
    <w:p w14:paraId="15EADC25" w14:textId="4DCCD940" w:rsidR="001B0301" w:rsidRPr="006B46C7" w:rsidRDefault="004D2C53" w:rsidP="00EB0660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Некоторые элементы, такие как факторы банкротства и особенности осуществления выплат, не были </w:t>
      </w:r>
      <w:r w:rsidR="00FC1EB6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очевидны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ходе тестирования. Однако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DNB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смог быстро отреагировать и разработать специальные решения, а также адаптировать инструменты, процедуры и документацию к случаю </w:t>
      </w:r>
      <w:r w:rsidRPr="006B46C7">
        <w:rPr>
          <w:rFonts w:ascii="Times New Roman" w:hAnsi="Times New Roman" w:cs="Times New Roman"/>
          <w:sz w:val="24"/>
          <w:szCs w:val="24"/>
        </w:rPr>
        <w:t>ATB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Во время выплаты </w:t>
      </w:r>
      <w:r w:rsidR="001B33EA">
        <w:rPr>
          <w:rFonts w:ascii="Times New Roman" w:hAnsi="Times New Roman" w:cs="Times New Roman"/>
          <w:sz w:val="24"/>
          <w:szCs w:val="24"/>
          <w:lang w:val="ru-RU"/>
        </w:rPr>
        <w:t xml:space="preserve">вкладчикам </w:t>
      </w:r>
      <w:r w:rsidRPr="006B46C7">
        <w:rPr>
          <w:rFonts w:ascii="Times New Roman" w:hAnsi="Times New Roman" w:cs="Times New Roman"/>
          <w:sz w:val="24"/>
          <w:szCs w:val="24"/>
        </w:rPr>
        <w:t>ATB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DNB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разработал следующие решения конкретных проблем:</w:t>
      </w:r>
    </w:p>
    <w:p w14:paraId="6E0C3CAC" w14:textId="77777777" w:rsidR="001B0301" w:rsidRPr="006B46C7" w:rsidRDefault="004D2C53" w:rsidP="001B33EA">
      <w:pPr>
        <w:pStyle w:val="11"/>
        <w:numPr>
          <w:ilvl w:val="0"/>
          <w:numId w:val="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6" w:name="bookmark174"/>
      <w:bookmarkEnd w:id="136"/>
      <w:r w:rsidRPr="006B46C7">
        <w:rPr>
          <w:rFonts w:ascii="Times New Roman" w:hAnsi="Times New Roman" w:cs="Times New Roman"/>
          <w:sz w:val="24"/>
          <w:szCs w:val="24"/>
          <w:lang w:val="ru-RU"/>
        </w:rPr>
        <w:t>Разработка альтернативного онлайн-инструмента для подачи форм вкладчиками, проживающими за пределами Нидерландов, и владельцами недействующих счетов</w:t>
      </w:r>
    </w:p>
    <w:p w14:paraId="66808C64" w14:textId="46B73D8C" w:rsidR="001B0301" w:rsidRPr="006B46C7" w:rsidRDefault="004D2C53" w:rsidP="001B33EA">
      <w:pPr>
        <w:pStyle w:val="11"/>
        <w:numPr>
          <w:ilvl w:val="0"/>
          <w:numId w:val="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7" w:name="bookmark175"/>
      <w:bookmarkEnd w:id="137"/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специальные политики и процедуры для выплаты страхового возмещения по недействующим счетам и вкладам умерших владельцев </w:t>
      </w:r>
    </w:p>
    <w:p w14:paraId="6C96C68C" w14:textId="273C4BA1" w:rsidR="001B0301" w:rsidRPr="006B46C7" w:rsidRDefault="004D2C53">
      <w:pPr>
        <w:pStyle w:val="11"/>
        <w:ind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>После выплаты</w:t>
      </w:r>
      <w:r w:rsidR="001B33EA">
        <w:rPr>
          <w:rFonts w:ascii="Times New Roman" w:hAnsi="Times New Roman" w:cs="Times New Roman"/>
          <w:sz w:val="24"/>
          <w:szCs w:val="24"/>
          <w:lang w:val="ru-RU"/>
        </w:rPr>
        <w:t xml:space="preserve"> вкладчикам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</w:rPr>
        <w:t>ATB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DNB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определил несколько областей для улучшения, включая:</w:t>
      </w:r>
    </w:p>
    <w:p w14:paraId="6F4BCA1D" w14:textId="1E75114C" w:rsidR="001B0301" w:rsidRPr="006B46C7" w:rsidRDefault="004D2C53" w:rsidP="001B33EA">
      <w:pPr>
        <w:pStyle w:val="11"/>
        <w:numPr>
          <w:ilvl w:val="0"/>
          <w:numId w:val="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8" w:name="bookmark176"/>
      <w:bookmarkEnd w:id="138"/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Изменения в требованиях </w:t>
      </w:r>
      <w:r w:rsidR="00BF6B4B">
        <w:rPr>
          <w:rFonts w:ascii="Times New Roman" w:hAnsi="Times New Roman" w:cs="Times New Roman"/>
          <w:sz w:val="24"/>
          <w:szCs w:val="24"/>
          <w:lang w:val="ru-RU"/>
        </w:rPr>
        <w:t>ССВ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к банкам, разъясняющие, что недействующие счета должны быть включены в </w:t>
      </w:r>
      <w:r w:rsidRPr="001B33EA">
        <w:rPr>
          <w:rFonts w:ascii="Times New Roman" w:hAnsi="Times New Roman" w:cs="Times New Roman"/>
          <w:sz w:val="24"/>
          <w:szCs w:val="24"/>
          <w:lang w:val="ru-RU"/>
        </w:rPr>
        <w:t>SCV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-файлы (завершено в конце 2022 года)</w:t>
      </w:r>
    </w:p>
    <w:p w14:paraId="4995B20C" w14:textId="1185DA0F" w:rsidR="001B0301" w:rsidRPr="006B46C7" w:rsidRDefault="004D2C53" w:rsidP="001B33EA">
      <w:pPr>
        <w:pStyle w:val="11"/>
        <w:numPr>
          <w:ilvl w:val="0"/>
          <w:numId w:val="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9" w:name="bookmark177"/>
      <w:bookmarkEnd w:id="139"/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Усовершенствование портала выплат </w:t>
      </w:r>
      <w:r w:rsidR="00BF6B4B">
        <w:rPr>
          <w:rFonts w:ascii="Times New Roman" w:hAnsi="Times New Roman" w:cs="Times New Roman"/>
          <w:sz w:val="24"/>
          <w:szCs w:val="24"/>
          <w:lang w:val="ru-RU"/>
        </w:rPr>
        <w:t>ССВ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для включения вариантов входа в систему, отличных от голландской платформы управления идентификацией (</w:t>
      </w:r>
      <w:r w:rsidRPr="001B33EA">
        <w:rPr>
          <w:rFonts w:ascii="Times New Roman" w:hAnsi="Times New Roman" w:cs="Times New Roman"/>
          <w:sz w:val="24"/>
          <w:szCs w:val="24"/>
          <w:lang w:val="ru-RU"/>
        </w:rPr>
        <w:t>DigiD</w:t>
      </w:r>
      <w:r w:rsidR="0081561E" w:rsidRPr="006B46C7">
        <w:rPr>
          <w:rFonts w:ascii="Times New Roman" w:hAnsi="Times New Roman" w:cs="Times New Roman"/>
          <w:sz w:val="24"/>
          <w:szCs w:val="24"/>
          <w:lang w:val="ru-RU"/>
        </w:rPr>
        <w:t>- Dutch identity management platform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0EDC4569" w14:textId="77777777" w:rsidR="001B0301" w:rsidRPr="006B46C7" w:rsidRDefault="004D2C53" w:rsidP="001B33EA">
      <w:pPr>
        <w:pStyle w:val="11"/>
        <w:numPr>
          <w:ilvl w:val="0"/>
          <w:numId w:val="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0" w:name="bookmark178"/>
      <w:bookmarkEnd w:id="140"/>
      <w:r w:rsidRPr="006B46C7">
        <w:rPr>
          <w:rFonts w:ascii="Times New Roman" w:hAnsi="Times New Roman" w:cs="Times New Roman"/>
          <w:sz w:val="24"/>
          <w:szCs w:val="24"/>
          <w:lang w:val="ru-RU"/>
        </w:rPr>
        <w:t>Дальнейшая автоматизация процессов и систем для обработки особых и сложных случаев (проект запущен в 2022 г.)</w:t>
      </w:r>
    </w:p>
    <w:p w14:paraId="335F98D3" w14:textId="54EAB526" w:rsidR="001B0301" w:rsidRPr="006B46C7" w:rsidRDefault="001B33EA" w:rsidP="006B46C7">
      <w:pPr>
        <w:pStyle w:val="11"/>
        <w:tabs>
          <w:tab w:val="left" w:pos="102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Кейс</w:t>
      </w:r>
      <w:r w:rsidR="00EB0660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 выплатами ATB подтвердил значимость регулярного тестирования систем кризисного реагирования.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DNB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B0660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установил, что процедуры, предварительно отработанные в ходе учений, продемонстрировали более высокую эффективность в реальных условиях. Кроме того, подготовительные мероприятия позволили персоналу оперативно адаптировать свои действия к нестандартным ситуациям, возникшим в процессе выплат. Анализ показал, что ключевым фактором успешного выполнения обязательств стала способность к гибкому реагированию. На основании полученного опыта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DNB</w:t>
      </w:r>
      <w:r w:rsidR="00EB0660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принял решение о регулярном обновлении годовой программы тестирования с учетом выявленных в ходе практической реализации недостатков и предложенных улучшений. Такой подход обеспечивает постоянное совершенствование кризисных процедур и поддерживает их актуальность.</w:t>
      </w:r>
    </w:p>
    <w:p w14:paraId="75769BA9" w14:textId="4D29DBB9" w:rsidR="001B0301" w:rsidRPr="006B46C7" w:rsidRDefault="004D2C53" w:rsidP="006B46C7">
      <w:pPr>
        <w:pStyle w:val="11"/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январе 2024 года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DNB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опубликовал </w:t>
      </w:r>
      <w:hyperlink r:id="rId21" w:history="1">
        <w:r w:rsidRPr="006B46C7">
          <w:rPr>
            <w:rFonts w:ascii="Times New Roman" w:hAnsi="Times New Roman" w:cs="Times New Roman"/>
            <w:sz w:val="24"/>
            <w:szCs w:val="24"/>
            <w:lang w:val="ru-RU"/>
          </w:rPr>
          <w:t xml:space="preserve">информационный бюллетень </w:t>
        </w:r>
      </w:hyperlink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о выплате </w:t>
      </w:r>
      <w:r w:rsidR="001B33EA">
        <w:rPr>
          <w:rFonts w:ascii="Times New Roman" w:hAnsi="Times New Roman" w:cs="Times New Roman"/>
          <w:sz w:val="24"/>
          <w:szCs w:val="24"/>
          <w:lang w:val="ru-RU"/>
        </w:rPr>
        <w:t xml:space="preserve">в рамках </w:t>
      </w:r>
      <w:r w:rsidR="00BF6B4B">
        <w:rPr>
          <w:rFonts w:ascii="Times New Roman" w:hAnsi="Times New Roman" w:cs="Times New Roman"/>
          <w:sz w:val="24"/>
          <w:szCs w:val="24"/>
          <w:lang w:val="ru-RU"/>
        </w:rPr>
        <w:t>ССВ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r w:rsidR="001B33EA">
        <w:rPr>
          <w:rFonts w:ascii="Times New Roman" w:hAnsi="Times New Roman" w:cs="Times New Roman"/>
          <w:sz w:val="24"/>
          <w:szCs w:val="24"/>
          <w:lang w:val="ru-RU"/>
        </w:rPr>
        <w:t xml:space="preserve">вкладчиков </w:t>
      </w:r>
      <w:r w:rsidRPr="006B46C7">
        <w:rPr>
          <w:rFonts w:ascii="Times New Roman" w:hAnsi="Times New Roman" w:cs="Times New Roman"/>
          <w:sz w:val="24"/>
          <w:szCs w:val="24"/>
        </w:rPr>
        <w:t>ATB</w:t>
      </w:r>
      <w:hyperlink w:anchor="bookmark43" w:tooltip="Current Document">
        <w:r w:rsidRPr="006B46C7">
          <w:rPr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81561E" w:rsidRPr="006B46C7">
          <w:rPr>
            <w:rStyle w:val="af2"/>
            <w:rFonts w:ascii="Times New Roman" w:hAnsi="Times New Roman" w:cs="Times New Roman"/>
            <w:sz w:val="24"/>
            <w:szCs w:val="24"/>
            <w:lang w:val="ru-RU"/>
          </w:rPr>
          <w:footnoteReference w:id="46"/>
        </w:r>
      </w:hyperlink>
      <w:r w:rsidRPr="006B46C7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623E8765" w14:textId="77777777" w:rsidR="001B0301" w:rsidRPr="006B46C7" w:rsidRDefault="004D2C53">
      <w:pPr>
        <w:pStyle w:val="24"/>
        <w:keepNext/>
        <w:keepLines/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1" w:name="bookmark179"/>
      <w:bookmarkStart w:id="142" w:name="bookmark180"/>
      <w:bookmarkStart w:id="143" w:name="bookmark181"/>
      <w:bookmarkStart w:id="144" w:name="_Toc206774062"/>
      <w:r w:rsidRPr="006B46C7">
        <w:rPr>
          <w:rFonts w:ascii="Times New Roman" w:hAnsi="Times New Roman" w:cs="Times New Roman"/>
          <w:sz w:val="24"/>
          <w:szCs w:val="24"/>
          <w:lang w:val="ru-RU"/>
        </w:rPr>
        <w:t>Тестирование может повысить уверенность персонала и укрепить потенциал для наращивания мощности</w:t>
      </w:r>
      <w:bookmarkEnd w:id="141"/>
      <w:bookmarkEnd w:id="142"/>
      <w:bookmarkEnd w:id="143"/>
      <w:bookmarkEnd w:id="144"/>
    </w:p>
    <w:p w14:paraId="20797D02" w14:textId="5921DB30" w:rsidR="00D60F25" w:rsidRPr="006B46C7" w:rsidRDefault="006344E2" w:rsidP="006B46C7">
      <w:pPr>
        <w:pStyle w:val="24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bookmarkStart w:id="145" w:name="_Toc206774063"/>
      <w:r w:rsidRPr="006B46C7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Одним из общих выводов, сделанных на основе сообщений о реальных случаях банкротсва банков, является вклад учебных тестов в обучение сотрудников. В настоящее время 53% юрисдикций сообщили, что учебные тесты официально включены в обучение и адаптацию ключевых сотрудников и резервных партнеров. Для страховщиков вкладов с обширным опытом управления банкротством банков эта возможность представляет особую ценность для новых сотрудников, позволяя им развивать и совершенствовать необходимые навыки. Межведомственные учения могут улучшить координацию в кризисной ситуации и в то же время иметь ключевое </w:t>
      </w:r>
      <w:r w:rsidR="001216D6" w:rsidRPr="006B46C7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значение</w:t>
      </w:r>
      <w:r w:rsidRPr="006B46C7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в наращивании потенциала, так как учения могут использоваться для перекрестного обучения сотрудников в других функциональных областях и для лучшего управления планированием преемственности. Для юрисдикций, не имеющих практического опыта работы с банкротством банков, имитационные учения часто являются единственным способом для сотрудников попрактиковаться в сценарии </w:t>
      </w:r>
      <w:r w:rsidR="001216D6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наступления страхового случая</w:t>
      </w:r>
      <w:r w:rsidRPr="006B46C7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.</w:t>
      </w:r>
      <w:bookmarkEnd w:id="145"/>
    </w:p>
    <w:p w14:paraId="265C05B2" w14:textId="62E3F276" w:rsidR="001B0301" w:rsidRPr="006B46C7" w:rsidRDefault="006344E2" w:rsidP="006B46C7">
      <w:pPr>
        <w:pStyle w:val="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6" w:name="_Toc206774064"/>
      <w:r w:rsidRPr="001216D6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Периодические учения могут предоставить сотрудникам опыт, необходимый для успешного реагирования на кризисные ситуации. Приведенное ниже тематическое исследование FDIC показывает важность поддержания регулярной, но гибкой структуры обучения для обеспечения устойчивости и предотвращения «усталости от учений». FDIC регулярно тестирует свою готовность к кризисам и планирование управления ими различными способами, чтобы убедиться в эффективности процедур и систем. Средства тестирования включают как фактические урегулирования обанкротившихся банков, регулярно проводимые в соответствии с Законом о страховании федеральных вкладов (FDI Act), так и другие учения для оценки эффективности существующих процедур и систем.</w:t>
      </w:r>
      <w:bookmarkEnd w:id="146"/>
      <w:r w:rsidR="00D60F25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1D6F792" w14:textId="0BCBF7F9" w:rsidR="00AB4287" w:rsidRDefault="00AB4287" w:rsidP="001216D6">
      <w:pPr>
        <w:pStyle w:val="11"/>
        <w:spacing w:after="0" w:line="240" w:lineRule="auto"/>
        <w:rPr>
          <w:rFonts w:ascii="Times New Roman" w:hAnsi="Times New Roman" w:cs="Times New Roman"/>
          <w:color w:val="1E2E8B"/>
          <w:sz w:val="24"/>
          <w:szCs w:val="24"/>
          <w:lang w:val="ru-RU"/>
        </w:rPr>
      </w:pPr>
      <w:r w:rsidRPr="001216D6">
        <w:rPr>
          <w:rFonts w:ascii="Times New Roman" w:hAnsi="Times New Roman" w:cs="Times New Roman"/>
          <w:color w:val="1E2E8B"/>
          <w:sz w:val="24"/>
          <w:szCs w:val="24"/>
          <w:lang w:val="ru-RU"/>
        </w:rPr>
        <w:t xml:space="preserve">Пример </w:t>
      </w:r>
      <w:r w:rsidR="00805A6E" w:rsidRPr="001216D6">
        <w:rPr>
          <w:rFonts w:ascii="Times New Roman" w:hAnsi="Times New Roman" w:cs="Times New Roman"/>
          <w:color w:val="1E2E8B"/>
          <w:sz w:val="24"/>
          <w:szCs w:val="24"/>
          <w:lang w:val="ru-RU"/>
        </w:rPr>
        <w:t>FDIC</w:t>
      </w:r>
    </w:p>
    <w:p w14:paraId="5DD98403" w14:textId="77777777" w:rsidR="001216D6" w:rsidRPr="001216D6" w:rsidRDefault="001216D6" w:rsidP="001216D6">
      <w:pPr>
        <w:pStyle w:val="11"/>
        <w:spacing w:after="0" w:line="240" w:lineRule="auto"/>
        <w:rPr>
          <w:rFonts w:ascii="Times New Roman" w:hAnsi="Times New Roman" w:cs="Times New Roman"/>
          <w:color w:val="1E2E8B"/>
          <w:sz w:val="24"/>
          <w:szCs w:val="24"/>
          <w:lang w:val="ru-RU"/>
        </w:rPr>
      </w:pPr>
    </w:p>
    <w:p w14:paraId="437E7F74" w14:textId="6A49F207" w:rsidR="00AB4287" w:rsidRPr="001216D6" w:rsidRDefault="00AB4287" w:rsidP="006B46C7">
      <w:pPr>
        <w:jc w:val="both"/>
        <w:rPr>
          <w:rFonts w:ascii="Times New Roman" w:hAnsi="Times New Roman" w:cs="Times New Roman"/>
          <w:b/>
          <w:lang w:val="ru-RU"/>
        </w:rPr>
      </w:pPr>
      <w:r w:rsidRPr="001216D6">
        <w:rPr>
          <w:rFonts w:ascii="Times New Roman" w:hAnsi="Times New Roman" w:cs="Times New Roman"/>
          <w:b/>
          <w:lang w:val="ru-RU"/>
        </w:rPr>
        <w:t xml:space="preserve">Банкротство </w:t>
      </w:r>
      <w:r w:rsidRPr="001216D6">
        <w:rPr>
          <w:rFonts w:ascii="Times New Roman" w:hAnsi="Times New Roman" w:cs="Times New Roman"/>
          <w:b/>
        </w:rPr>
        <w:t>Heartland</w:t>
      </w:r>
      <w:r w:rsidRPr="001216D6">
        <w:rPr>
          <w:rFonts w:ascii="Times New Roman" w:hAnsi="Times New Roman" w:cs="Times New Roman"/>
          <w:b/>
          <w:lang w:val="ru-RU"/>
        </w:rPr>
        <w:t xml:space="preserve"> </w:t>
      </w:r>
      <w:r w:rsidRPr="001216D6">
        <w:rPr>
          <w:rFonts w:ascii="Times New Roman" w:hAnsi="Times New Roman" w:cs="Times New Roman"/>
          <w:b/>
        </w:rPr>
        <w:t>Tri</w:t>
      </w:r>
      <w:r w:rsidRPr="001216D6">
        <w:rPr>
          <w:rFonts w:ascii="Times New Roman" w:hAnsi="Times New Roman" w:cs="Times New Roman"/>
          <w:b/>
          <w:lang w:val="ru-RU"/>
        </w:rPr>
        <w:t>-</w:t>
      </w:r>
      <w:r w:rsidRPr="001216D6">
        <w:rPr>
          <w:rFonts w:ascii="Times New Roman" w:hAnsi="Times New Roman" w:cs="Times New Roman"/>
          <w:b/>
        </w:rPr>
        <w:t>State</w:t>
      </w:r>
      <w:r w:rsidRPr="001216D6">
        <w:rPr>
          <w:rFonts w:ascii="Times New Roman" w:hAnsi="Times New Roman" w:cs="Times New Roman"/>
          <w:b/>
          <w:lang w:val="ru-RU"/>
        </w:rPr>
        <w:t xml:space="preserve"> </w:t>
      </w:r>
      <w:r w:rsidRPr="001216D6">
        <w:rPr>
          <w:rFonts w:ascii="Times New Roman" w:hAnsi="Times New Roman" w:cs="Times New Roman"/>
          <w:b/>
        </w:rPr>
        <w:t>Bank</w:t>
      </w:r>
    </w:p>
    <w:p w14:paraId="66EC6918" w14:textId="77777777" w:rsidR="00AB4287" w:rsidRPr="001216D6" w:rsidRDefault="00AB4287" w:rsidP="006B46C7">
      <w:pPr>
        <w:jc w:val="both"/>
        <w:rPr>
          <w:rFonts w:ascii="Times New Roman" w:hAnsi="Times New Roman" w:cs="Times New Roman"/>
          <w:lang w:val="ru-RU"/>
        </w:rPr>
      </w:pPr>
    </w:p>
    <w:p w14:paraId="70E2292C" w14:textId="76EE1044" w:rsidR="001216D6" w:rsidRDefault="00AB4287" w:rsidP="001216D6">
      <w:pPr>
        <w:spacing w:after="120" w:line="276" w:lineRule="auto"/>
        <w:jc w:val="both"/>
        <w:rPr>
          <w:rFonts w:ascii="Times New Roman" w:hAnsi="Times New Roman" w:cs="Times New Roman"/>
          <w:lang w:val="ru-RU"/>
        </w:rPr>
      </w:pPr>
      <w:r w:rsidRPr="006B46C7">
        <w:rPr>
          <w:rFonts w:ascii="Times New Roman" w:hAnsi="Times New Roman" w:cs="Times New Roman"/>
          <w:lang w:val="ru-RU"/>
        </w:rPr>
        <w:t>В пятницу, 28 июля 2023 года, Управление уполномоченного штата Канзас по делам банков объявило о закрытии банка Heartland Tri-State Bank из Эл</w:t>
      </w:r>
      <w:r w:rsidR="001216D6">
        <w:rPr>
          <w:rFonts w:ascii="Times New Roman" w:hAnsi="Times New Roman" w:cs="Times New Roman"/>
          <w:lang w:val="ru-RU"/>
        </w:rPr>
        <w:t>харта, штат Канзас</w:t>
      </w:r>
      <w:r w:rsidRPr="006B46C7">
        <w:rPr>
          <w:rFonts w:ascii="Times New Roman" w:hAnsi="Times New Roman" w:cs="Times New Roman"/>
          <w:lang w:val="ru-RU"/>
        </w:rPr>
        <w:t xml:space="preserve">. Впоследствии </w:t>
      </w:r>
      <w:r w:rsidR="00805A6E">
        <w:rPr>
          <w:rFonts w:ascii="Times New Roman" w:hAnsi="Times New Roman" w:cs="Times New Roman"/>
          <w:lang w:val="ru-RU"/>
        </w:rPr>
        <w:t>FDIC</w:t>
      </w:r>
      <w:r w:rsidRPr="006B46C7">
        <w:rPr>
          <w:rFonts w:ascii="Times New Roman" w:hAnsi="Times New Roman" w:cs="Times New Roman"/>
          <w:lang w:val="ru-RU"/>
        </w:rPr>
        <w:t xml:space="preserve"> (Федеральная корпорация по страхованию вкладов) была назначена управляющим по делу о банкротстве. Активы банка составляли приблизительно 139 миллионов долларов, а депозиты — 130 миллионов долларов; банк имел четыре филиала.</w:t>
      </w:r>
      <w:r w:rsidR="001216D6">
        <w:rPr>
          <w:rFonts w:ascii="Times New Roman" w:hAnsi="Times New Roman" w:cs="Times New Roman"/>
          <w:lang w:val="ru-RU"/>
        </w:rPr>
        <w:t xml:space="preserve"> </w:t>
      </w:r>
      <w:r w:rsidRPr="006B46C7">
        <w:rPr>
          <w:rFonts w:ascii="Times New Roman" w:hAnsi="Times New Roman" w:cs="Times New Roman"/>
          <w:lang w:val="ru-RU"/>
        </w:rPr>
        <w:t xml:space="preserve">С целью защиты вкладчиков </w:t>
      </w:r>
      <w:r w:rsidR="00805A6E">
        <w:rPr>
          <w:rFonts w:ascii="Times New Roman" w:hAnsi="Times New Roman" w:cs="Times New Roman"/>
          <w:lang w:val="ru-RU"/>
        </w:rPr>
        <w:t>FDIC</w:t>
      </w:r>
      <w:r w:rsidRPr="006B46C7">
        <w:rPr>
          <w:rFonts w:ascii="Times New Roman" w:hAnsi="Times New Roman" w:cs="Times New Roman"/>
          <w:lang w:val="ru-RU"/>
        </w:rPr>
        <w:t xml:space="preserve"> заключила соглашение о приобретении и принятии активов и обязательств с Dream First Bank, Национальной ассоциацией, из Сиракуз, штат Канзас. В соответствии с этим соглашением Dream First Bank принял на себя все депозиты и практически все активы Heartland Tri-State Bank.</w:t>
      </w:r>
      <w:r w:rsidRPr="00B6286F">
        <w:rPr>
          <w:rFonts w:ascii="Times New Roman" w:hAnsi="Times New Roman" w:cs="Times New Roman"/>
          <w:lang w:val="ru-RU"/>
        </w:rPr>
        <w:t xml:space="preserve"> </w:t>
      </w:r>
    </w:p>
    <w:p w14:paraId="7A336BE7" w14:textId="04032719" w:rsidR="00AB4287" w:rsidRPr="006B46C7" w:rsidRDefault="00AB4287" w:rsidP="001216D6">
      <w:pPr>
        <w:spacing w:after="120" w:line="276" w:lineRule="auto"/>
        <w:jc w:val="both"/>
        <w:rPr>
          <w:rFonts w:ascii="Times New Roman" w:hAnsi="Times New Roman" w:cs="Times New Roman"/>
          <w:lang w:val="ru-RU"/>
        </w:rPr>
      </w:pPr>
      <w:r w:rsidRPr="006B46C7">
        <w:rPr>
          <w:rFonts w:ascii="Times New Roman" w:hAnsi="Times New Roman" w:cs="Times New Roman"/>
          <w:lang w:val="ru-RU"/>
        </w:rPr>
        <w:t xml:space="preserve">Из-за высокой скорости развития ситуации у </w:t>
      </w:r>
      <w:r w:rsidR="00805A6E">
        <w:rPr>
          <w:rFonts w:ascii="Times New Roman" w:hAnsi="Times New Roman" w:cs="Times New Roman"/>
          <w:lang w:val="ru-RU"/>
        </w:rPr>
        <w:t>FDIC</w:t>
      </w:r>
      <w:r w:rsidRPr="006B46C7">
        <w:rPr>
          <w:rFonts w:ascii="Times New Roman" w:hAnsi="Times New Roman" w:cs="Times New Roman"/>
          <w:lang w:val="ru-RU"/>
        </w:rPr>
        <w:t xml:space="preserve"> было крайне ограниченное время для предложения банка потенциальным покупателям. Поскольку у участников торгов было всего два дня на проведение комплексной проверки (due diligence), </w:t>
      </w:r>
      <w:r w:rsidR="00805A6E">
        <w:rPr>
          <w:rFonts w:ascii="Times New Roman" w:hAnsi="Times New Roman" w:cs="Times New Roman"/>
          <w:lang w:val="ru-RU"/>
        </w:rPr>
        <w:t>FDIC</w:t>
      </w:r>
      <w:r w:rsidRPr="006B46C7">
        <w:rPr>
          <w:rFonts w:ascii="Times New Roman" w:hAnsi="Times New Roman" w:cs="Times New Roman"/>
          <w:lang w:val="ru-RU"/>
        </w:rPr>
        <w:t xml:space="preserve"> приняла решение включить в стратегию продажи обанкротившегося банка возможность заключения соглашения о разделе убытков по коммерческим кредитам. Это помогло снизить опасения потенциальных покупателей относительно качества кредитного портфеля.</w:t>
      </w:r>
      <w:r w:rsidRPr="00B6286F">
        <w:rPr>
          <w:rFonts w:ascii="Times New Roman" w:hAnsi="Times New Roman" w:cs="Times New Roman"/>
          <w:lang w:val="ru-RU"/>
        </w:rPr>
        <w:t xml:space="preserve"> </w:t>
      </w:r>
      <w:r w:rsidRPr="006B46C7">
        <w:rPr>
          <w:rFonts w:ascii="Times New Roman" w:hAnsi="Times New Roman" w:cs="Times New Roman"/>
          <w:lang w:val="ru-RU"/>
        </w:rPr>
        <w:t xml:space="preserve">Согласно данному соглашению, </w:t>
      </w:r>
      <w:r w:rsidR="00805A6E">
        <w:rPr>
          <w:rFonts w:ascii="Times New Roman" w:hAnsi="Times New Roman" w:cs="Times New Roman"/>
          <w:lang w:val="ru-RU"/>
        </w:rPr>
        <w:t>FDIC</w:t>
      </w:r>
      <w:r w:rsidRPr="006B46C7">
        <w:rPr>
          <w:rFonts w:ascii="Times New Roman" w:hAnsi="Times New Roman" w:cs="Times New Roman"/>
          <w:lang w:val="ru-RU"/>
        </w:rPr>
        <w:t xml:space="preserve"> и приобретающая организация разделяли бы убытки и потенциальные </w:t>
      </w:r>
      <w:r w:rsidR="001216D6">
        <w:rPr>
          <w:rFonts w:ascii="Times New Roman" w:hAnsi="Times New Roman" w:cs="Times New Roman"/>
          <w:lang w:val="ru-RU"/>
        </w:rPr>
        <w:t>взыскания</w:t>
      </w:r>
      <w:r w:rsidRPr="006B46C7">
        <w:rPr>
          <w:rFonts w:ascii="Times New Roman" w:hAnsi="Times New Roman" w:cs="Times New Roman"/>
          <w:lang w:val="ru-RU"/>
        </w:rPr>
        <w:t xml:space="preserve"> по указанным </w:t>
      </w:r>
      <w:r w:rsidR="001216D6">
        <w:rPr>
          <w:rFonts w:ascii="Times New Roman" w:hAnsi="Times New Roman" w:cs="Times New Roman"/>
          <w:lang w:val="ru-RU"/>
        </w:rPr>
        <w:t>позициям</w:t>
      </w:r>
      <w:r w:rsidRPr="006B46C7">
        <w:rPr>
          <w:rFonts w:ascii="Times New Roman" w:hAnsi="Times New Roman" w:cs="Times New Roman"/>
          <w:lang w:val="ru-RU"/>
        </w:rPr>
        <w:t xml:space="preserve">. Сохранение активов под управлением частного сектора, как правило, максимизирует </w:t>
      </w:r>
      <w:r w:rsidR="001216D6">
        <w:rPr>
          <w:rFonts w:ascii="Times New Roman" w:hAnsi="Times New Roman" w:cs="Times New Roman"/>
          <w:lang w:val="ru-RU"/>
        </w:rPr>
        <w:t>взыскания</w:t>
      </w:r>
      <w:r w:rsidRPr="006B46C7">
        <w:rPr>
          <w:rFonts w:ascii="Times New Roman" w:hAnsi="Times New Roman" w:cs="Times New Roman"/>
          <w:lang w:val="ru-RU"/>
        </w:rPr>
        <w:t xml:space="preserve">. Что наиболее важно, использование этого инструмента урегулирования позволило </w:t>
      </w:r>
      <w:r w:rsidR="00805A6E">
        <w:rPr>
          <w:rFonts w:ascii="Times New Roman" w:hAnsi="Times New Roman" w:cs="Times New Roman"/>
          <w:lang w:val="ru-RU"/>
        </w:rPr>
        <w:t>FDIC</w:t>
      </w:r>
      <w:r w:rsidRPr="006B46C7">
        <w:rPr>
          <w:rFonts w:ascii="Times New Roman" w:hAnsi="Times New Roman" w:cs="Times New Roman"/>
          <w:lang w:val="ru-RU"/>
        </w:rPr>
        <w:t xml:space="preserve"> оперативно продать Heartland, минимизировав неудобства для вкладчиков и заемщиков банка.</w:t>
      </w:r>
      <w:r w:rsidR="00BD4576" w:rsidRPr="00B6286F">
        <w:rPr>
          <w:rFonts w:ascii="Times New Roman" w:hAnsi="Times New Roman" w:cs="Times New Roman"/>
          <w:lang w:val="ru-RU"/>
        </w:rPr>
        <w:t xml:space="preserve"> </w:t>
      </w:r>
      <w:r w:rsidRPr="006B46C7">
        <w:rPr>
          <w:rFonts w:ascii="Times New Roman" w:hAnsi="Times New Roman" w:cs="Times New Roman"/>
          <w:lang w:val="ru-RU"/>
        </w:rPr>
        <w:t>Четыре филиала Heartland возобновили свою работу как филиалы Dream First Bank уже в понедельник, 31 июля, на следующий рабочий день после закрытия. Вкладчики Heartland не теряли доступа к своим денежным средствам и имели возможность выписывать чеки, а также использовать банкоматы и дебетовые карты без перебоев на протяжении всех выходных.</w:t>
      </w:r>
      <w:r w:rsidRPr="006B46C7">
        <w:rPr>
          <w:rFonts w:ascii="Times New Roman" w:hAnsi="Times New Roman" w:cs="Times New Roman"/>
          <w:b/>
          <w:bCs/>
          <w:lang w:val="ru-RU"/>
        </w:rPr>
        <w:br w:type="page"/>
      </w:r>
    </w:p>
    <w:p w14:paraId="335336FC" w14:textId="64BE78F6" w:rsidR="001B0301" w:rsidRPr="006B46C7" w:rsidRDefault="004D2C53" w:rsidP="006B46C7">
      <w:pPr>
        <w:pStyle w:val="11"/>
        <w:pBdr>
          <w:top w:val="single" w:sz="4" w:space="0" w:color="auto"/>
        </w:pBdr>
        <w:spacing w:after="100" w:line="26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Программы моделирования и тестирования</w:t>
      </w:r>
    </w:p>
    <w:p w14:paraId="1A7139AA" w14:textId="7C55E9A9" w:rsidR="001B0301" w:rsidRPr="006B46C7" w:rsidRDefault="004D2C53" w:rsidP="00AA508E">
      <w:pPr>
        <w:pStyle w:val="11"/>
        <w:spacing w:after="100" w:line="26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Отделом урегулирования несостоятельности и </w:t>
      </w:r>
      <w:r w:rsidR="001216D6">
        <w:rPr>
          <w:rFonts w:ascii="Times New Roman" w:hAnsi="Times New Roman" w:cs="Times New Roman"/>
          <w:sz w:val="24"/>
          <w:szCs w:val="24"/>
          <w:lang w:val="ru-RU"/>
        </w:rPr>
        <w:t>конкурсного производства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DRR</w:t>
      </w:r>
      <w:r w:rsidR="00270E37" w:rsidRPr="00270E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0E37">
        <w:rPr>
          <w:rFonts w:ascii="Times New Roman" w:hAnsi="Times New Roman" w:cs="Times New Roman"/>
          <w:sz w:val="24"/>
          <w:szCs w:val="24"/>
          <w:lang w:val="ru-RU"/>
        </w:rPr>
        <w:t>FDIC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FDIC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было проведено тщательное моделирование и тестирование проблемного учреждения.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DRR</w:t>
      </w:r>
      <w:r w:rsidR="00270E37" w:rsidRPr="00270E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0E37">
        <w:rPr>
          <w:rFonts w:ascii="Times New Roman" w:hAnsi="Times New Roman" w:cs="Times New Roman"/>
          <w:sz w:val="24"/>
          <w:szCs w:val="24"/>
          <w:lang w:val="ru-RU"/>
        </w:rPr>
        <w:t>FDIC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занимается мониторингом, маркетингом и определением наименее затратного способа </w:t>
      </w:r>
      <w:proofErr w:type="gramStart"/>
      <w:r w:rsidR="001216D6">
        <w:rPr>
          <w:rFonts w:ascii="Times New Roman" w:hAnsi="Times New Roman" w:cs="Times New Roman"/>
          <w:sz w:val="24"/>
          <w:szCs w:val="24"/>
          <w:lang w:val="ru-RU"/>
        </w:rPr>
        <w:t>урегулирования несостоятельности</w:t>
      </w:r>
      <w:proofErr w:type="gramEnd"/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обанкротившихся застрахованных депозитарных учреждений. Чтобы подготовиться к выполнению этих обязанностей, </w:t>
      </w:r>
      <w:r w:rsidR="00270E37" w:rsidRPr="00270E37">
        <w:rPr>
          <w:rFonts w:ascii="Times New Roman" w:hAnsi="Times New Roman" w:cs="Times New Roman"/>
          <w:sz w:val="24"/>
          <w:szCs w:val="24"/>
          <w:lang w:val="ru-RU"/>
        </w:rPr>
        <w:t xml:space="preserve">DRR FDIC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реализует обширную </w:t>
      </w:r>
      <w:hyperlink w:anchor="bookmark44" w:tooltip="Current Document">
        <w:r w:rsidRPr="006B46C7">
          <w:rPr>
            <w:rFonts w:ascii="Times New Roman" w:hAnsi="Times New Roman" w:cs="Times New Roman"/>
            <w:sz w:val="24"/>
            <w:szCs w:val="24"/>
            <w:lang w:val="ru-RU"/>
          </w:rPr>
          <w:t>программу</w:t>
        </w:r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47"/>
        </w:r>
      </w:hyperlink>
      <w:r w:rsidR="001216D6">
        <w:rPr>
          <w:rFonts w:ascii="Times New Roman" w:hAnsi="Times New Roman" w:cs="Times New Roman"/>
          <w:sz w:val="24"/>
          <w:szCs w:val="24"/>
          <w:lang w:val="ru-RU"/>
        </w:rPr>
        <w:t xml:space="preserve"> обучения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, включающую обучение на рабочем месте, своевременное обучение, самостоятельное обучение и симуляци</w:t>
      </w:r>
      <w:r w:rsidR="006C3B9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для новых и действующих сотрудников. В частности, </w:t>
      </w:r>
      <w:r w:rsidR="00270E37" w:rsidRPr="00270E37">
        <w:rPr>
          <w:rFonts w:ascii="Times New Roman" w:hAnsi="Times New Roman" w:cs="Times New Roman"/>
          <w:sz w:val="24"/>
          <w:szCs w:val="24"/>
          <w:lang w:val="ru-RU"/>
        </w:rPr>
        <w:t xml:space="preserve">DRR FDIC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разработал полугодовую программу моделирования</w:t>
      </w:r>
      <w:r w:rsidR="006C3B9D">
        <w:rPr>
          <w:rFonts w:ascii="Times New Roman" w:hAnsi="Times New Roman" w:cs="Times New Roman"/>
          <w:sz w:val="24"/>
          <w:szCs w:val="24"/>
          <w:lang w:val="ru-RU"/>
        </w:rPr>
        <w:t xml:space="preserve"> страхового случая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в рамках которой сотрудники могут получить новые или отточить уже имеющиеся навыки. Эта программа также помогает в планировании замещения кадров, поскольку сотрудники могут пройти перекрестное обучение в других областях. Программа моделирования разработана таким образом, чтобы быть гибкой, где сотрудники обучаются выполнять различные функции с помощью микросимуляций. После завершения микросимуляций участники собираются вместе, чтобы проверить полученные навыки в макросимуляции, воспроизводящей закрытие банка. В программу симуляции постоянно вносятся постепенные изменения и корректировки, основанные на наблюдениях за недавними </w:t>
      </w:r>
      <w:r w:rsidR="006C3B9D">
        <w:rPr>
          <w:rFonts w:ascii="Times New Roman" w:hAnsi="Times New Roman" w:cs="Times New Roman"/>
          <w:sz w:val="24"/>
          <w:szCs w:val="24"/>
          <w:lang w:val="ru-RU"/>
        </w:rPr>
        <w:t>и вероятными страховыми случаями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4BDF99D" w14:textId="55416B4B" w:rsidR="001B0301" w:rsidRPr="006B46C7" w:rsidRDefault="004D2C53" w:rsidP="006B46C7">
      <w:pPr>
        <w:pStyle w:val="11"/>
        <w:spacing w:after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дополнение к микро- и макросимуляциям, описанным выше, </w:t>
      </w:r>
      <w:r w:rsidR="00270E37" w:rsidRPr="00270E37">
        <w:rPr>
          <w:rFonts w:ascii="Times New Roman" w:hAnsi="Times New Roman" w:cs="Times New Roman"/>
          <w:sz w:val="24"/>
          <w:szCs w:val="24"/>
          <w:lang w:val="ru-RU"/>
        </w:rPr>
        <w:t xml:space="preserve">DRR FDIC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также проверяет готовность с помощью более целенаправленных учебных сценариев на уровне функциональных областей. Например, в июне 2022 года опытные сотрудники </w:t>
      </w:r>
      <w:r w:rsidR="00270E37" w:rsidRPr="00270E37">
        <w:rPr>
          <w:rFonts w:ascii="Times New Roman" w:hAnsi="Times New Roman" w:cs="Times New Roman"/>
          <w:sz w:val="24"/>
          <w:szCs w:val="24"/>
          <w:lang w:val="ru-RU"/>
        </w:rPr>
        <w:t xml:space="preserve">DRR FDIC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течение пяти недель проводили учебную симуляцию с использованием данных, процессов и процедур реального банка, </w:t>
      </w:r>
      <w:r w:rsidR="009E5330">
        <w:rPr>
          <w:rFonts w:ascii="Times New Roman" w:hAnsi="Times New Roman" w:cs="Times New Roman"/>
          <w:sz w:val="24"/>
          <w:szCs w:val="24"/>
          <w:lang w:val="ru-RU"/>
        </w:rPr>
        <w:t>несостоятельность которого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FDIC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готовился урегулировать. Эта учебная симуляция была разработана для воспроизведения деятельности по урегулированию несостоятельности перед закрытием, связанной с маркетингом проблемного учреждения, и значительная часть сотрудников, участвовавших в деле </w:t>
      </w:r>
      <w:r w:rsidRPr="006B46C7">
        <w:rPr>
          <w:rFonts w:ascii="Times New Roman" w:hAnsi="Times New Roman" w:cs="Times New Roman"/>
          <w:sz w:val="24"/>
          <w:szCs w:val="24"/>
        </w:rPr>
        <w:t>Heartland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, приняла участие в этом учении.</w:t>
      </w:r>
    </w:p>
    <w:p w14:paraId="071DC11F" w14:textId="51E1C29C" w:rsidR="001B0301" w:rsidRPr="006B46C7" w:rsidRDefault="004D2C53" w:rsidP="006B46C7">
      <w:pPr>
        <w:pStyle w:val="11"/>
        <w:spacing w:after="100" w:line="26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ходе симуляции также оценивалось, как различные факторы, такие как профиль активов и пассивов обанкротившегося банка, положение с ликвидностью и корпоративная структура, могут повлиять на стратегию урегулирования несостоятельности </w:t>
      </w:r>
      <w:r w:rsidR="00270E37" w:rsidRPr="00270E37">
        <w:rPr>
          <w:rFonts w:ascii="Times New Roman" w:hAnsi="Times New Roman" w:cs="Times New Roman"/>
          <w:sz w:val="24"/>
          <w:szCs w:val="24"/>
          <w:lang w:val="ru-RU"/>
        </w:rPr>
        <w:t xml:space="preserve">DRR FDIC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и, в конечном счете, на успешное завершение процесса маркетинга. Было протестировано, изменено и повторно протестировано множество различных сценариев. Моделирование подтвердило, что процессы и процедуры </w:t>
      </w:r>
      <w:r w:rsidR="00270E37" w:rsidRPr="00270E37">
        <w:rPr>
          <w:rFonts w:ascii="Times New Roman" w:hAnsi="Times New Roman" w:cs="Times New Roman"/>
          <w:sz w:val="24"/>
          <w:szCs w:val="24"/>
          <w:lang w:val="ru-RU"/>
        </w:rPr>
        <w:t xml:space="preserve">DRR FDIC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являются надежными, но сотрудники определили основные выводы, которые можно сделать для улучшения будущего обучения</w:t>
      </w:r>
      <w:r w:rsidR="003A4091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5330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например, расширить количество сценариев оценки и сделать среду моделирования максимально реалистичной).</w:t>
      </w:r>
    </w:p>
    <w:p w14:paraId="1B8687DF" w14:textId="4C2BCC9B" w:rsidR="001B0301" w:rsidRDefault="004D2C53" w:rsidP="006B46C7">
      <w:pPr>
        <w:pStyle w:val="11"/>
        <w:pBdr>
          <w:bottom w:val="single" w:sz="4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Симуляция </w:t>
      </w:r>
      <w:r w:rsidR="00BD4576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была полезна как для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опытны</w:t>
      </w:r>
      <w:r w:rsidR="00BD4576" w:rsidRPr="006B46C7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, так и новы</w:t>
      </w:r>
      <w:r w:rsidR="00BD4576" w:rsidRPr="006B46C7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сотрудник</w:t>
      </w:r>
      <w:r w:rsidR="00BD4576" w:rsidRPr="006B46C7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Новые сотрудники приобрели необходимые навыки в учебной среде, а действующие сотрудники определили, что нужно улучшить в системах, </w:t>
      </w:r>
      <w:r w:rsidR="00FF1200">
        <w:rPr>
          <w:rFonts w:ascii="Times New Roman" w:hAnsi="Times New Roman" w:cs="Times New Roman"/>
          <w:sz w:val="24"/>
          <w:szCs w:val="24"/>
          <w:lang w:val="ru-RU"/>
        </w:rPr>
        <w:t xml:space="preserve">как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усовершенствовать документацию для участников торгов и обновить документы по сделкам, контрольные перечни процессов и модели оценки заявок. Моделирование и реальное мероприятие по урегулированию показали, что 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мягкие навыки</w:t>
      </w:r>
      <w:r w:rsidR="00FF1200" w:rsidRPr="00FF1200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, включая работу в команде, гибкость и эффективную коммуникацию, необходимы для процесса урегулирования несостоятельности. Эффективная коммуникация особенно важна при взаимодействии с внутренними и внешними заинтересованными сторонами на протяжении</w:t>
      </w:r>
      <w:r w:rsidR="00AA508E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всего процесса урегулирования несостоятельности. Каждая неудача имеет уникальные характеристики (размер, географическое присутствие, профиль активов и обязательств, корпоративная структура), что подчеркивает необходимость гибкости и критического мышления при выборе наиболее подходящей стратегии, которая приведет к урегулированию несостоятельности с наименьшими затратами. Хотя с помощью симуляций и учений </w:t>
      </w:r>
      <w:r w:rsidR="00270E37" w:rsidRPr="00270E37">
        <w:rPr>
          <w:rFonts w:ascii="Times New Roman" w:hAnsi="Times New Roman" w:cs="Times New Roman"/>
          <w:sz w:val="24"/>
          <w:szCs w:val="24"/>
          <w:lang w:val="ru-RU"/>
        </w:rPr>
        <w:t xml:space="preserve">DRR FDIC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может подготовиться к решению многих реальных проблем, некоторые сложности невозможно предугадать, что подчеркивает необходимость гибкости и критического мышления при преодолении кризиса.</w:t>
      </w:r>
      <w:r w:rsidR="00AA508E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B8C5785" w14:textId="598A06B1" w:rsidR="00FF1200" w:rsidRDefault="00FF1200" w:rsidP="00FF1200">
      <w:pPr>
        <w:pStyle w:val="11"/>
        <w:pBdr>
          <w:bottom w:val="single" w:sz="4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1200">
        <w:rPr>
          <w:rFonts w:ascii="Times New Roman" w:hAnsi="Times New Roman" w:cs="Times New Roman"/>
          <w:sz w:val="24"/>
          <w:szCs w:val="24"/>
          <w:lang w:val="ru-RU"/>
        </w:rPr>
        <w:t xml:space="preserve">Симуляционное обучение играет важную роль в подготовке сотрудников </w:t>
      </w:r>
      <w:r w:rsidR="00270E37" w:rsidRPr="00270E37">
        <w:rPr>
          <w:rFonts w:ascii="Times New Roman" w:hAnsi="Times New Roman" w:cs="Times New Roman"/>
          <w:sz w:val="24"/>
          <w:szCs w:val="24"/>
          <w:lang w:val="ru-RU"/>
        </w:rPr>
        <w:t xml:space="preserve">DRR FDIC </w:t>
      </w:r>
      <w:r w:rsidRPr="00FF1200">
        <w:rPr>
          <w:rFonts w:ascii="Times New Roman" w:hAnsi="Times New Roman" w:cs="Times New Roman"/>
          <w:sz w:val="24"/>
          <w:szCs w:val="24"/>
          <w:lang w:val="ru-RU"/>
        </w:rPr>
        <w:t xml:space="preserve">к выполнению своих обязанностей в условиях реального урегулирования несостоятельности. </w:t>
      </w:r>
      <w:r>
        <w:rPr>
          <w:rFonts w:ascii="Times New Roman" w:hAnsi="Times New Roman" w:cs="Times New Roman"/>
          <w:sz w:val="24"/>
          <w:szCs w:val="24"/>
          <w:lang w:val="ru-RU"/>
        </w:rPr>
        <w:t>Сталкиваясь с реальными</w:t>
      </w:r>
      <w:r w:rsidRPr="00FF1200">
        <w:rPr>
          <w:rFonts w:ascii="Times New Roman" w:hAnsi="Times New Roman" w:cs="Times New Roman"/>
          <w:sz w:val="24"/>
          <w:szCs w:val="24"/>
          <w:lang w:val="ru-RU"/>
        </w:rPr>
        <w:t xml:space="preserve"> проблем</w:t>
      </w:r>
      <w:r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FF1200">
        <w:rPr>
          <w:rFonts w:ascii="Times New Roman" w:hAnsi="Times New Roman" w:cs="Times New Roman"/>
          <w:sz w:val="24"/>
          <w:szCs w:val="24"/>
          <w:lang w:val="ru-RU"/>
        </w:rPr>
        <w:t xml:space="preserve"> в тренировочной среде, участники получат понимание того, что это обычная часть банковских сбоев, и научатся предвидеть и реагировать на необычные обстоятельства. Основной проблемой для </w:t>
      </w:r>
      <w:r w:rsidR="00270E37" w:rsidRPr="00270E37">
        <w:rPr>
          <w:rFonts w:ascii="Times New Roman" w:hAnsi="Times New Roman" w:cs="Times New Roman"/>
          <w:sz w:val="24"/>
          <w:szCs w:val="24"/>
          <w:lang w:val="ru-RU"/>
        </w:rPr>
        <w:t xml:space="preserve">DRR FDIC </w:t>
      </w:r>
      <w:r w:rsidRPr="00FF1200">
        <w:rPr>
          <w:rFonts w:ascii="Times New Roman" w:hAnsi="Times New Roman" w:cs="Times New Roman"/>
          <w:sz w:val="24"/>
          <w:szCs w:val="24"/>
          <w:lang w:val="ru-RU"/>
        </w:rPr>
        <w:t xml:space="preserve">было сохранение культуры обучения в период многочисленных событий, связанных с урегулированием несостоятельности. Несмотря на то, что программа симуляции содержит несколько вариантов обучения, различающихся по продолжительности и времени проведения, такая гибкость позволила </w:t>
      </w:r>
      <w:r w:rsidR="00270E37" w:rsidRPr="00270E37">
        <w:rPr>
          <w:rFonts w:ascii="Times New Roman" w:hAnsi="Times New Roman" w:cs="Times New Roman"/>
          <w:sz w:val="24"/>
          <w:szCs w:val="24"/>
          <w:lang w:val="ru-RU"/>
        </w:rPr>
        <w:t xml:space="preserve">DRR FDIC </w:t>
      </w:r>
      <w:r w:rsidRPr="00FF1200">
        <w:rPr>
          <w:rFonts w:ascii="Times New Roman" w:hAnsi="Times New Roman" w:cs="Times New Roman"/>
          <w:sz w:val="24"/>
          <w:szCs w:val="24"/>
          <w:lang w:val="ru-RU"/>
        </w:rPr>
        <w:t>продолжать обучение в периоды большого объема работы.</w:t>
      </w:r>
      <w:bookmarkStart w:id="148" w:name="bookmark182"/>
      <w:bookmarkStart w:id="149" w:name="bookmark183"/>
      <w:bookmarkStart w:id="150" w:name="bookmark184"/>
    </w:p>
    <w:bookmarkEnd w:id="148"/>
    <w:bookmarkEnd w:id="149"/>
    <w:bookmarkEnd w:id="150"/>
    <w:p w14:paraId="6C5743EF" w14:textId="77777777" w:rsidR="00FF1200" w:rsidRDefault="00FF1200" w:rsidP="00AA508E">
      <w:pPr>
        <w:pStyle w:val="1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7E9E7B3" w14:textId="705AF433" w:rsidR="00FF1200" w:rsidRPr="00FF1200" w:rsidRDefault="00FF1200" w:rsidP="00AA508E">
      <w:pPr>
        <w:pStyle w:val="1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F1200">
        <w:rPr>
          <w:rFonts w:ascii="Times New Roman" w:hAnsi="Times New Roman" w:cs="Times New Roman"/>
          <w:b/>
          <w:sz w:val="24"/>
          <w:szCs w:val="24"/>
          <w:lang w:val="ru-RU"/>
        </w:rPr>
        <w:t>Тестовые упражнения могут способствовать повышению осведомленности и координации действий заинтересованных сторон</w:t>
      </w:r>
    </w:p>
    <w:p w14:paraId="70B4015C" w14:textId="412879B0" w:rsidR="001B0301" w:rsidRPr="006B46C7" w:rsidRDefault="004D2C53" w:rsidP="00AA508E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Помимо обучения персонала, учения могут также улучшить понимание мандата и инструментов страховщика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внешними заинтересованными сторонами, тем самым способствуя усилению координации в реальном кризисном случае. Тренировочные упражнения помогают участникам понять взаимозависимость между заинтересованными сторонами и их вклад в обеспечение финансовой стабильности. Эти учения 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[укрепляют] уверенность... внешних заинтересованных сторо</w:t>
      </w:r>
      <w:r w:rsidR="00801394">
        <w:rPr>
          <w:rFonts w:ascii="Times New Roman" w:hAnsi="Times New Roman" w:cs="Times New Roman"/>
          <w:sz w:val="24"/>
          <w:szCs w:val="24"/>
          <w:lang w:val="ru-RU"/>
        </w:rPr>
        <w:t>н..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в способности страховщика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эффективно реагировать в соответствии с их </w:t>
      </w:r>
      <w:r w:rsidR="00AA508E" w:rsidRPr="006B46C7">
        <w:rPr>
          <w:rFonts w:ascii="Times New Roman" w:hAnsi="Times New Roman" w:cs="Times New Roman"/>
          <w:sz w:val="24"/>
          <w:szCs w:val="24"/>
          <w:lang w:val="ru-RU"/>
        </w:rPr>
        <w:t>полномочиями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, укрепляя систему готовности к кризису</w:t>
      </w:r>
      <w:hyperlink w:anchor="bookmark45" w:tooltip="Current Document">
        <w:r w:rsidRPr="006B46C7">
          <w:rPr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48"/>
        </w:r>
      </w:hyperlink>
    </w:p>
    <w:p w14:paraId="44A51072" w14:textId="530273D2" w:rsidR="001B0301" w:rsidRPr="006B46C7" w:rsidRDefault="004D2C53" w:rsidP="00AA508E">
      <w:pPr>
        <w:pStyle w:val="11"/>
        <w:spacing w:after="3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После большого количества банкротств в 2023 году 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NDIC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-Нигери</w:t>
      </w:r>
      <w:r w:rsidR="0055046C" w:rsidRPr="006B46C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046C" w:rsidRPr="006B46C7">
        <w:rPr>
          <w:rFonts w:ascii="Times New Roman" w:hAnsi="Times New Roman" w:cs="Times New Roman"/>
          <w:sz w:val="24"/>
          <w:szCs w:val="24"/>
          <w:lang w:val="ru-RU"/>
        </w:rPr>
        <w:t>увеличило количество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ресурсов и предлагаемых тренингов и учений в рамках Плана обучения Академии 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NDIC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Кроме того, 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NDIC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возобновил проведение информационных семинаров для сторонних лиц, не входящих в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СПФС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(судей, сотрудников правоохранительных органов и т. д.), чтобы смягчить потенциальные </w:t>
      </w:r>
      <w:r w:rsidR="00261216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правовые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проблемы при ликвидации последствий сбоя. 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NDIC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взаимодействует с сотрудниками судебных органов, поскольку они часто играют важную роль в разрешении споров, возникающих при отзыве банковских лицензий, ликвидации обанкротившихся банков и прекращении ликвидационной деятельности. Случай 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NDIC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подчеркивает, что осведомленность заинтересованных сторон о страховании вкладов может оказать значительное влияние на процесс урегулирования несостоятельности, и что важную роль могут сыграть учебные мероприятия.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0B74C028" w14:textId="5B2D0A7D" w:rsidR="001B0301" w:rsidRPr="006B46C7" w:rsidRDefault="00D2131E">
      <w:pPr>
        <w:pStyle w:val="11"/>
        <w:spacing w:after="400" w:line="240" w:lineRule="auto"/>
        <w:ind w:firstLine="300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color w:val="1E2E8B"/>
          <w:sz w:val="24"/>
          <w:szCs w:val="24"/>
          <w:lang w:val="ru-RU"/>
        </w:rPr>
        <w:t xml:space="preserve">Пример </w:t>
      </w:r>
      <w:r w:rsidR="00E72712">
        <w:rPr>
          <w:rFonts w:ascii="Times New Roman" w:hAnsi="Times New Roman" w:cs="Times New Roman"/>
          <w:color w:val="1E2E8B"/>
          <w:sz w:val="24"/>
          <w:szCs w:val="24"/>
          <w:lang w:val="ru-RU"/>
        </w:rPr>
        <w:t>NDIC</w:t>
      </w:r>
    </w:p>
    <w:p w14:paraId="18FC70BC" w14:textId="77777777" w:rsidR="001B0301" w:rsidRPr="006B46C7" w:rsidRDefault="004D2C53">
      <w:pPr>
        <w:pStyle w:val="11"/>
        <w:spacing w:after="0"/>
        <w:ind w:firstLine="300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>2023 г. Банкротство микрофинансовых банков</w:t>
      </w:r>
    </w:p>
    <w:p w14:paraId="277DAA99" w14:textId="7932DC4A" w:rsidR="001B0301" w:rsidRPr="006B46C7" w:rsidRDefault="004D2C53">
      <w:pPr>
        <w:pStyle w:val="11"/>
        <w:spacing w:after="280"/>
        <w:ind w:left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>В мае 2023 года Центральный банк Нигерии (</w:t>
      </w:r>
      <w:r w:rsidR="001742E1">
        <w:rPr>
          <w:rFonts w:ascii="Times New Roman" w:hAnsi="Times New Roman" w:cs="Times New Roman"/>
          <w:sz w:val="24"/>
          <w:szCs w:val="24"/>
          <w:lang w:val="ru-RU"/>
        </w:rPr>
        <w:t>CBN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) отозвал лицензии у 183 организаций, в том числе у 179 микрофинансовых банков (МФБ) и четырех первичных ипотечных банков (</w:t>
      </w:r>
      <w:r w:rsidR="001742E1" w:rsidRPr="001742E1">
        <w:rPr>
          <w:rFonts w:ascii="Times New Roman" w:hAnsi="Times New Roman" w:cs="Times New Roman"/>
          <w:sz w:val="24"/>
          <w:szCs w:val="24"/>
          <w:lang w:val="ru-RU"/>
        </w:rPr>
        <w:t>PMB</w:t>
      </w:r>
      <w:r w:rsidR="001742E1">
        <w:rPr>
          <w:rFonts w:ascii="Times New Roman" w:hAnsi="Times New Roman" w:cs="Times New Roman"/>
          <w:sz w:val="24"/>
          <w:szCs w:val="24"/>
        </w:rPr>
        <w:t>s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). Основной причиной отказов/отзыва лицензий стала неспособность учреждений выполнить директиву </w:t>
      </w:r>
      <w:r w:rsidR="001742E1">
        <w:rPr>
          <w:rFonts w:ascii="Times New Roman" w:hAnsi="Times New Roman" w:cs="Times New Roman"/>
          <w:sz w:val="24"/>
          <w:szCs w:val="24"/>
          <w:lang w:val="ru-RU"/>
        </w:rPr>
        <w:t>CBN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о повышенных требованиях к рекапитализации, а также несоблюдение обязательств, наложенных на них </w:t>
      </w:r>
      <w:r w:rsidR="001742E1">
        <w:rPr>
          <w:rFonts w:ascii="Times New Roman" w:hAnsi="Times New Roman" w:cs="Times New Roman"/>
          <w:sz w:val="24"/>
          <w:szCs w:val="24"/>
          <w:lang w:val="ru-RU"/>
        </w:rPr>
        <w:t>CBN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положениями Закона о банках и других финансовых организациях от 2020 года. Инициатива по рекапитализации была обусловлена проблемами, с которыми столкнулся подсектор, в том числе:</w:t>
      </w:r>
    </w:p>
    <w:p w14:paraId="1B06824E" w14:textId="77777777" w:rsidR="001B0301" w:rsidRPr="006B46C7" w:rsidRDefault="004D2C53">
      <w:pPr>
        <w:pStyle w:val="11"/>
        <w:numPr>
          <w:ilvl w:val="0"/>
          <w:numId w:val="11"/>
        </w:numPr>
        <w:tabs>
          <w:tab w:val="left" w:pos="729"/>
        </w:tabs>
        <w:spacing w:after="0"/>
        <w:ind w:firstLine="440"/>
        <w:rPr>
          <w:rFonts w:ascii="Times New Roman" w:hAnsi="Times New Roman" w:cs="Times New Roman"/>
          <w:sz w:val="24"/>
          <w:szCs w:val="24"/>
        </w:rPr>
      </w:pPr>
      <w:bookmarkStart w:id="152" w:name="bookmark185"/>
      <w:bookmarkEnd w:id="152"/>
      <w:r w:rsidRPr="006B46C7">
        <w:rPr>
          <w:rFonts w:ascii="Times New Roman" w:hAnsi="Times New Roman" w:cs="Times New Roman"/>
          <w:sz w:val="24"/>
          <w:szCs w:val="24"/>
        </w:rPr>
        <w:t>неадекватная капитальная база</w:t>
      </w:r>
    </w:p>
    <w:p w14:paraId="63C1B231" w14:textId="77777777" w:rsidR="001B0301" w:rsidRPr="006B46C7" w:rsidRDefault="004D2C53">
      <w:pPr>
        <w:pStyle w:val="11"/>
        <w:numPr>
          <w:ilvl w:val="0"/>
          <w:numId w:val="11"/>
        </w:numPr>
        <w:tabs>
          <w:tab w:val="left" w:pos="729"/>
        </w:tabs>
        <w:spacing w:after="0"/>
        <w:ind w:firstLine="440"/>
        <w:rPr>
          <w:rFonts w:ascii="Times New Roman" w:hAnsi="Times New Roman" w:cs="Times New Roman"/>
          <w:sz w:val="24"/>
          <w:szCs w:val="24"/>
        </w:rPr>
      </w:pPr>
      <w:bookmarkStart w:id="153" w:name="bookmark186"/>
      <w:bookmarkEnd w:id="153"/>
      <w:r w:rsidRPr="006B46C7">
        <w:rPr>
          <w:rFonts w:ascii="Times New Roman" w:hAnsi="Times New Roman" w:cs="Times New Roman"/>
          <w:sz w:val="24"/>
          <w:szCs w:val="24"/>
        </w:rPr>
        <w:t>слабое корпоративное управление</w:t>
      </w:r>
    </w:p>
    <w:p w14:paraId="18DDE30F" w14:textId="77777777" w:rsidR="001B0301" w:rsidRPr="006B46C7" w:rsidRDefault="004D2C53">
      <w:pPr>
        <w:pStyle w:val="11"/>
        <w:numPr>
          <w:ilvl w:val="0"/>
          <w:numId w:val="11"/>
        </w:numPr>
        <w:tabs>
          <w:tab w:val="left" w:pos="729"/>
        </w:tabs>
        <w:spacing w:after="0"/>
        <w:ind w:firstLine="440"/>
        <w:rPr>
          <w:rFonts w:ascii="Times New Roman" w:hAnsi="Times New Roman" w:cs="Times New Roman"/>
          <w:sz w:val="24"/>
          <w:szCs w:val="24"/>
        </w:rPr>
      </w:pPr>
      <w:bookmarkStart w:id="154" w:name="bookmark187"/>
      <w:bookmarkEnd w:id="154"/>
      <w:r w:rsidRPr="006B46C7">
        <w:rPr>
          <w:rFonts w:ascii="Times New Roman" w:hAnsi="Times New Roman" w:cs="Times New Roman"/>
          <w:sz w:val="24"/>
          <w:szCs w:val="24"/>
        </w:rPr>
        <w:t>неэффективная практика управления рисками</w:t>
      </w:r>
    </w:p>
    <w:p w14:paraId="135C8773" w14:textId="77777777" w:rsidR="001B0301" w:rsidRPr="006B46C7" w:rsidRDefault="004D2C53">
      <w:pPr>
        <w:pStyle w:val="11"/>
        <w:numPr>
          <w:ilvl w:val="0"/>
          <w:numId w:val="11"/>
        </w:numPr>
        <w:tabs>
          <w:tab w:val="left" w:pos="729"/>
        </w:tabs>
        <w:spacing w:after="0"/>
        <w:ind w:firstLine="440"/>
        <w:rPr>
          <w:rFonts w:ascii="Times New Roman" w:hAnsi="Times New Roman" w:cs="Times New Roman"/>
          <w:sz w:val="24"/>
          <w:szCs w:val="24"/>
        </w:rPr>
      </w:pPr>
      <w:bookmarkStart w:id="155" w:name="bookmark188"/>
      <w:bookmarkEnd w:id="155"/>
      <w:r w:rsidRPr="006B46C7">
        <w:rPr>
          <w:rFonts w:ascii="Times New Roman" w:hAnsi="Times New Roman" w:cs="Times New Roman"/>
          <w:sz w:val="24"/>
          <w:szCs w:val="24"/>
        </w:rPr>
        <w:t>нехватка необходимого потенциала</w:t>
      </w:r>
    </w:p>
    <w:p w14:paraId="5FC507D0" w14:textId="10A63221" w:rsidR="001B0301" w:rsidRPr="00610BFE" w:rsidRDefault="00610BFE">
      <w:pPr>
        <w:pStyle w:val="11"/>
        <w:numPr>
          <w:ilvl w:val="0"/>
          <w:numId w:val="11"/>
        </w:numPr>
        <w:tabs>
          <w:tab w:val="left" w:pos="729"/>
        </w:tabs>
        <w:spacing w:after="280"/>
        <w:ind w:firstLine="440"/>
        <w:rPr>
          <w:rFonts w:ascii="Times New Roman" w:hAnsi="Times New Roman" w:cs="Times New Roman"/>
          <w:sz w:val="24"/>
          <w:szCs w:val="24"/>
          <w:lang w:val="ru-RU"/>
        </w:rPr>
      </w:pPr>
      <w:bookmarkStart w:id="156" w:name="bookmark189"/>
      <w:bookmarkEnd w:id="156"/>
      <w:r>
        <w:rPr>
          <w:rFonts w:ascii="Times New Roman" w:hAnsi="Times New Roman" w:cs="Times New Roman"/>
          <w:sz w:val="24"/>
          <w:szCs w:val="24"/>
          <w:lang w:val="ru-RU"/>
        </w:rPr>
        <w:t>уход от основной цели деятельности</w:t>
      </w:r>
    </w:p>
    <w:p w14:paraId="24C9A9E1" w14:textId="713C7B8F" w:rsidR="001B0301" w:rsidRPr="006B46C7" w:rsidRDefault="004D2C53">
      <w:pPr>
        <w:pStyle w:val="11"/>
        <w:spacing w:after="280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Первоначальный циркуляр о рекапитализации был выпущен </w:t>
      </w:r>
      <w:r w:rsidR="001742E1">
        <w:rPr>
          <w:rFonts w:ascii="Times New Roman" w:hAnsi="Times New Roman" w:cs="Times New Roman"/>
          <w:sz w:val="24"/>
          <w:szCs w:val="24"/>
          <w:lang w:val="ru-RU"/>
        </w:rPr>
        <w:t>CBN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22 октября 2018 года, в соответствии с которым все существующие МФБ должны были полностью выполнить требования к 1 апреля 2020 года. Несмотря на последующую серию продлений, чтобы предоставить достаточно времени для выполнения требований, затронутые МФБ не смогли выполнить минимальные требования. Последствия </w:t>
      </w:r>
      <w:r w:rsidR="00610BFE">
        <w:rPr>
          <w:rFonts w:ascii="Times New Roman" w:hAnsi="Times New Roman" w:cs="Times New Roman"/>
          <w:sz w:val="24"/>
          <w:szCs w:val="24"/>
          <w:lang w:val="ru-RU"/>
        </w:rPr>
        <w:t>отзывов лицензии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были незначительными и не повлияли на стабильность подсектора. 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NDIC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удалось добиться самой </w:t>
      </w:r>
      <w:r w:rsidR="00610BFE">
        <w:rPr>
          <w:rFonts w:ascii="Times New Roman" w:hAnsi="Times New Roman" w:cs="Times New Roman"/>
          <w:sz w:val="24"/>
          <w:szCs w:val="24"/>
          <w:lang w:val="ru-RU"/>
        </w:rPr>
        <w:t>быстрой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выплаты </w:t>
      </w:r>
      <w:r w:rsidR="00610BFE">
        <w:rPr>
          <w:rFonts w:ascii="Times New Roman" w:hAnsi="Times New Roman" w:cs="Times New Roman"/>
          <w:sz w:val="24"/>
          <w:szCs w:val="24"/>
          <w:lang w:val="ru-RU"/>
        </w:rPr>
        <w:t xml:space="preserve">страхового возмещения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истории 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NDIC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и выплата страхового возмещения началась в течение семи дней после отзыва лицензии. На конец сентября 2023 года в стране по-прежнему действовало около 712 МФБ с хорошей капитализацией. </w:t>
      </w:r>
      <w:r w:rsidRPr="006B46C7">
        <w:rPr>
          <w:rFonts w:ascii="Times New Roman" w:hAnsi="Times New Roman" w:cs="Times New Roman"/>
          <w:sz w:val="24"/>
          <w:szCs w:val="24"/>
        </w:rPr>
        <w:t>Закрытие учреждений прошло успешно благодаря:</w:t>
      </w:r>
    </w:p>
    <w:p w14:paraId="6786E51E" w14:textId="436560CD" w:rsidR="001B0301" w:rsidRPr="006B46C7" w:rsidRDefault="004D2C53">
      <w:pPr>
        <w:pStyle w:val="11"/>
        <w:numPr>
          <w:ilvl w:val="0"/>
          <w:numId w:val="11"/>
        </w:numPr>
        <w:tabs>
          <w:tab w:val="left" w:pos="729"/>
        </w:tabs>
        <w:spacing w:after="0"/>
        <w:ind w:left="720" w:hanging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7" w:name="bookmark190"/>
      <w:bookmarkEnd w:id="157"/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Координации действий между участниками </w:t>
      </w:r>
      <w:r w:rsidR="00610BFE">
        <w:rPr>
          <w:rFonts w:ascii="Times New Roman" w:hAnsi="Times New Roman" w:cs="Times New Roman"/>
          <w:sz w:val="24"/>
          <w:szCs w:val="24"/>
          <w:lang w:val="ru-RU"/>
        </w:rPr>
        <w:t>СПФС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: Тесное взаимодействие между </w:t>
      </w:r>
      <w:r w:rsidR="001742E1">
        <w:rPr>
          <w:rFonts w:ascii="Times New Roman" w:hAnsi="Times New Roman" w:cs="Times New Roman"/>
          <w:sz w:val="24"/>
          <w:szCs w:val="24"/>
          <w:lang w:val="ru-RU"/>
        </w:rPr>
        <w:t>CBN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NDIC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позволило 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NDIC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эффективно подготовиться к закрытию заранее.</w:t>
      </w:r>
    </w:p>
    <w:p w14:paraId="3D109B92" w14:textId="5E68413B" w:rsidR="001B0301" w:rsidRPr="006B46C7" w:rsidRDefault="004D2C53">
      <w:pPr>
        <w:pStyle w:val="11"/>
        <w:numPr>
          <w:ilvl w:val="0"/>
          <w:numId w:val="11"/>
        </w:numPr>
        <w:tabs>
          <w:tab w:val="left" w:pos="729"/>
        </w:tabs>
        <w:spacing w:after="0"/>
        <w:ind w:left="720" w:hanging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8" w:name="bookmark191"/>
      <w:bookmarkEnd w:id="158"/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Правильное планирование: 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NDIC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смог получить от </w:t>
      </w:r>
      <w:r w:rsidR="001742E1">
        <w:rPr>
          <w:rFonts w:ascii="Times New Roman" w:hAnsi="Times New Roman" w:cs="Times New Roman"/>
          <w:sz w:val="24"/>
          <w:szCs w:val="24"/>
          <w:lang w:val="ru-RU"/>
        </w:rPr>
        <w:t>CBN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список МФБ и </w:t>
      </w:r>
      <w:r w:rsidR="00801394" w:rsidRPr="001742E1">
        <w:rPr>
          <w:rFonts w:ascii="Times New Roman" w:hAnsi="Times New Roman" w:cs="Times New Roman"/>
          <w:sz w:val="24"/>
          <w:szCs w:val="24"/>
          <w:lang w:val="ru-RU"/>
        </w:rPr>
        <w:t>PMB</w:t>
      </w:r>
      <w:r w:rsidR="00801394">
        <w:rPr>
          <w:rFonts w:ascii="Times New Roman" w:hAnsi="Times New Roman" w:cs="Times New Roman"/>
          <w:sz w:val="24"/>
          <w:szCs w:val="24"/>
        </w:rPr>
        <w:t>s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чьи лицензии подлежали отзыву, заблаговременно до даты отзыва. Это позволило 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NDIC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мобилизовать достаточные ресурсы, которые обеспечили успешное закрытие и своевременные выплаты.</w:t>
      </w:r>
    </w:p>
    <w:p w14:paraId="412D0A8D" w14:textId="77777777" w:rsidR="001B0301" w:rsidRPr="006B46C7" w:rsidRDefault="004D2C53">
      <w:pPr>
        <w:pStyle w:val="11"/>
        <w:numPr>
          <w:ilvl w:val="0"/>
          <w:numId w:val="11"/>
        </w:numPr>
        <w:tabs>
          <w:tab w:val="left" w:pos="729"/>
        </w:tabs>
        <w:spacing w:after="280"/>
        <w:ind w:left="720" w:hanging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9" w:name="bookmark192"/>
      <w:bookmarkEnd w:id="159"/>
      <w:r w:rsidRPr="006B46C7">
        <w:rPr>
          <w:rFonts w:ascii="Times New Roman" w:hAnsi="Times New Roman" w:cs="Times New Roman"/>
          <w:sz w:val="24"/>
          <w:szCs w:val="24"/>
          <w:lang w:val="ru-RU"/>
        </w:rPr>
        <w:t>Готовность к кризисным ситуациям: Все группы для участия в закрытии были созданы заранее (хотя и не были доведены до сведения задействованных сотрудников). Роли были правильно распределены и задокументированы, а каналы связи для своевременной эскалации вопросов и проблем были установлены заблаговременно. Роли главного ликвидатора, заместителя главного ликвидатора и помощника главного ликвидатора, охватывающие такие области, как право, требования, информационные технологии, безопасность и транспорт, были распределены таким образом, чтобы обеспечить беспрепятственное закрытие.</w:t>
      </w:r>
    </w:p>
    <w:p w14:paraId="77FAAD3E" w14:textId="1C908A06" w:rsidR="001B0301" w:rsidRPr="006B46C7" w:rsidRDefault="00E72712">
      <w:pPr>
        <w:pStyle w:val="11"/>
        <w:spacing w:after="0"/>
        <w:ind w:firstLine="3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NDIC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успешно справился с </w:t>
      </w:r>
      <w:r w:rsidR="00610BFE" w:rsidRPr="006B46C7">
        <w:rPr>
          <w:rFonts w:ascii="Times New Roman" w:hAnsi="Times New Roman" w:cs="Times New Roman"/>
          <w:sz w:val="24"/>
          <w:szCs w:val="24"/>
          <w:lang w:val="ru-RU"/>
        </w:rPr>
        <w:t>банкротством</w:t>
      </w:r>
      <w:r w:rsidR="008551DA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и преодолел следующие трудности:</w:t>
      </w:r>
    </w:p>
    <w:p w14:paraId="66D5248C" w14:textId="7D7AC85F" w:rsidR="001B0301" w:rsidRPr="006B46C7" w:rsidRDefault="004D2C53" w:rsidP="00610BFE">
      <w:pPr>
        <w:pStyle w:val="11"/>
        <w:numPr>
          <w:ilvl w:val="0"/>
          <w:numId w:val="11"/>
        </w:numPr>
        <w:tabs>
          <w:tab w:val="left" w:pos="729"/>
        </w:tabs>
        <w:spacing w:after="0"/>
        <w:ind w:left="720" w:hanging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0" w:name="bookmark193"/>
      <w:bookmarkEnd w:id="160"/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Сопротивление акционеров и кредиторов: </w:t>
      </w:r>
      <w:r w:rsidR="005D3ABB" w:rsidRPr="006B46C7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екоторые акционеры и кредиторы оспаривали отзыв лицензии у своих банков в суде</w:t>
      </w:r>
      <w:r w:rsidR="005D3ABB" w:rsidRPr="006B46C7">
        <w:rPr>
          <w:rFonts w:ascii="Times New Roman" w:hAnsi="Times New Roman" w:cs="Times New Roman"/>
          <w:sz w:val="24"/>
          <w:szCs w:val="24"/>
          <w:lang w:val="ru-RU"/>
        </w:rPr>
        <w:t>бном порядке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Для решения этой проблемы </w:t>
      </w:r>
      <w:r w:rsidR="00610BFE" w:rsidRPr="00610BFE">
        <w:rPr>
          <w:rFonts w:ascii="Times New Roman" w:hAnsi="Times New Roman" w:cs="Times New Roman"/>
          <w:sz w:val="24"/>
          <w:szCs w:val="24"/>
          <w:lang w:val="ru-RU"/>
        </w:rPr>
        <w:t xml:space="preserve">NDIC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привлекала судей к участию в рабочих совещаниях и семинарах, чтобы </w:t>
      </w:r>
      <w:r w:rsidR="00FF57E2" w:rsidRPr="006B46C7">
        <w:rPr>
          <w:rFonts w:ascii="Times New Roman" w:hAnsi="Times New Roman" w:cs="Times New Roman"/>
          <w:sz w:val="24"/>
          <w:szCs w:val="24"/>
          <w:lang w:val="ru-RU"/>
        </w:rPr>
        <w:t>содействовать в расширении профессиональной осведомленности судей в сфере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систем</w:t>
      </w:r>
      <w:r w:rsidR="00FF57E2" w:rsidRPr="006B46C7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страхования вкладов, в частности ее рол</w:t>
      </w:r>
      <w:r w:rsidR="00FF57E2" w:rsidRPr="006B46C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обеспечении стабильности финансовой системы.</w:t>
      </w:r>
    </w:p>
    <w:p w14:paraId="19E806F9" w14:textId="77777777" w:rsidR="001B0301" w:rsidRPr="006B46C7" w:rsidRDefault="004D2C53" w:rsidP="006B46C7">
      <w:pPr>
        <w:pStyle w:val="11"/>
        <w:numPr>
          <w:ilvl w:val="0"/>
          <w:numId w:val="11"/>
        </w:numPr>
        <w:tabs>
          <w:tab w:val="left" w:pos="729"/>
        </w:tabs>
        <w:spacing w:after="0"/>
        <w:ind w:left="709" w:hanging="283"/>
        <w:rPr>
          <w:rFonts w:ascii="Times New Roman" w:hAnsi="Times New Roman" w:cs="Times New Roman"/>
          <w:sz w:val="24"/>
          <w:szCs w:val="24"/>
          <w:lang w:val="ru-RU"/>
        </w:rPr>
      </w:pPr>
      <w:bookmarkStart w:id="161" w:name="bookmark194"/>
      <w:bookmarkEnd w:id="161"/>
      <w:r w:rsidRPr="006B46C7">
        <w:rPr>
          <w:rFonts w:ascii="Times New Roman" w:hAnsi="Times New Roman" w:cs="Times New Roman"/>
          <w:sz w:val="24"/>
          <w:szCs w:val="24"/>
          <w:lang w:val="ru-RU"/>
        </w:rPr>
        <w:t>Трудности с доступом к базам данных/серверам/банковским приложениям некоторых банков:</w:t>
      </w:r>
    </w:p>
    <w:p w14:paraId="75603873" w14:textId="5F69303B" w:rsidR="001B0301" w:rsidRDefault="004D2C53">
      <w:pPr>
        <w:pStyle w:val="11"/>
        <w:numPr>
          <w:ilvl w:val="0"/>
          <w:numId w:val="11"/>
        </w:numPr>
        <w:pBdr>
          <w:bottom w:val="single" w:sz="4" w:space="0" w:color="auto"/>
        </w:pBdr>
        <w:tabs>
          <w:tab w:val="left" w:pos="729"/>
        </w:tabs>
        <w:spacing w:after="0"/>
        <w:ind w:left="720" w:hanging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2" w:name="bookmark195"/>
      <w:bookmarkEnd w:id="162"/>
      <w:r w:rsidRPr="006B46C7">
        <w:rPr>
          <w:rFonts w:ascii="Times New Roman" w:hAnsi="Times New Roman" w:cs="Times New Roman"/>
          <w:sz w:val="24"/>
          <w:szCs w:val="24"/>
          <w:lang w:val="ru-RU"/>
        </w:rPr>
        <w:t>Базы данных некоторых банков находились в обла</w:t>
      </w:r>
      <w:r w:rsidR="00FF57E2" w:rsidRPr="006B46C7">
        <w:rPr>
          <w:rFonts w:ascii="Times New Roman" w:hAnsi="Times New Roman" w:cs="Times New Roman"/>
          <w:sz w:val="24"/>
          <w:szCs w:val="24"/>
          <w:lang w:val="ru-RU"/>
        </w:rPr>
        <w:t>чном хранилище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а срок действия лицензий либо истек, </w:t>
      </w:r>
      <w:r w:rsidR="00F26582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срок </w:t>
      </w:r>
      <w:r w:rsidR="00610BFE" w:rsidRPr="006B46C7">
        <w:rPr>
          <w:rFonts w:ascii="Times New Roman" w:hAnsi="Times New Roman" w:cs="Times New Roman"/>
          <w:sz w:val="24"/>
          <w:szCs w:val="24"/>
          <w:lang w:val="ru-RU"/>
        </w:rPr>
        <w:t>оплаты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взносов был просрочен. </w:t>
      </w:r>
      <w:r w:rsidR="00F26582" w:rsidRPr="006B46C7">
        <w:rPr>
          <w:rFonts w:ascii="Times New Roman" w:hAnsi="Times New Roman" w:cs="Times New Roman"/>
          <w:sz w:val="24"/>
          <w:szCs w:val="24"/>
          <w:lang w:val="ru-RU"/>
        </w:rPr>
        <w:t>Для решения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эт</w:t>
      </w:r>
      <w:r w:rsidR="00F26582" w:rsidRPr="006B46C7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проблем</w:t>
      </w:r>
      <w:r w:rsidR="00F26582" w:rsidRPr="006B46C7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NDIC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пришлось оплатить все невыплаченные лицензионные сборы соответствующим поставщикам, чтобы получить доступ к базам данных и другим соответствующим приложениям.</w:t>
      </w:r>
    </w:p>
    <w:p w14:paraId="2F7FD818" w14:textId="7C133D5C" w:rsidR="00610BFE" w:rsidRPr="00610BFE" w:rsidRDefault="00610BFE" w:rsidP="00801394">
      <w:pPr>
        <w:pStyle w:val="11"/>
        <w:numPr>
          <w:ilvl w:val="0"/>
          <w:numId w:val="11"/>
        </w:numPr>
        <w:pBdr>
          <w:bottom w:val="single" w:sz="4" w:space="0" w:color="auto"/>
        </w:pBdr>
        <w:tabs>
          <w:tab w:val="left" w:pos="729"/>
        </w:tabs>
        <w:spacing w:after="60"/>
        <w:ind w:left="720" w:hanging="28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10BFE">
        <w:rPr>
          <w:rFonts w:ascii="Times New Roman" w:hAnsi="Times New Roman" w:cs="Times New Roman"/>
          <w:sz w:val="24"/>
          <w:szCs w:val="24"/>
          <w:lang w:val="ru-RU"/>
        </w:rPr>
        <w:t xml:space="preserve">Отсутствие инициативы к сотрудничеству со стороны сотрудников ликвидированных банков: Для успешного закрытия банков NDIC требуется сотрудничество ключевых сотрудников обанкротившихся банков. NDIC пришлось сохранить статус некоторых сотрудников в качестве сотрудников с полной занятостью для работы с экспертами </w:t>
      </w:r>
      <w:r w:rsidRPr="00610BFE">
        <w:rPr>
          <w:rFonts w:ascii="Times New Roman" w:hAnsi="Times New Roman" w:cs="Times New Roman"/>
          <w:sz w:val="24"/>
          <w:szCs w:val="24"/>
        </w:rPr>
        <w:t>NDlC</w:t>
      </w:r>
      <w:r w:rsidRPr="00610BFE">
        <w:rPr>
          <w:rFonts w:ascii="Times New Roman" w:hAnsi="Times New Roman" w:cs="Times New Roman"/>
          <w:sz w:val="24"/>
          <w:szCs w:val="24"/>
          <w:lang w:val="ru-RU"/>
        </w:rPr>
        <w:t>, чтобы получить всю необходимую информацию, требуемую для надлежащего закрытия банков.</w:t>
      </w:r>
    </w:p>
    <w:p w14:paraId="69783116" w14:textId="77777777" w:rsidR="001B0301" w:rsidRPr="006B46C7" w:rsidRDefault="004D2C53" w:rsidP="006B46C7">
      <w:pPr>
        <w:pStyle w:val="11"/>
        <w:spacing w:after="60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Основные выводы</w:t>
      </w:r>
    </w:p>
    <w:p w14:paraId="34085B77" w14:textId="77777777" w:rsidR="00F360A8" w:rsidRDefault="00E72712" w:rsidP="00F360A8">
      <w:pPr>
        <w:pStyle w:val="11"/>
        <w:pBdr>
          <w:bottom w:val="single" w:sz="4" w:space="0" w:color="auto"/>
        </w:pBdr>
        <w:spacing w:after="3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NDIC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проанализировав проблемы, возникшие в результате банкротства 2023 года, работает над повышением скорости получения информации о вкладчиках и счетах, чтобы обеспечить более быстрые выплаты в будущем. Организация также признала ценность непрерывного обучения в области урегулирования несостоятельности, выделив больше ресурсов и увеличив количество предлагаемых тренингов и упражнений для 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Школы урегулирования несостоятельности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рамках плана и бюджета обучения Академии </w:t>
      </w:r>
      <w:r>
        <w:rPr>
          <w:rFonts w:ascii="Times New Roman" w:hAnsi="Times New Roman" w:cs="Times New Roman"/>
          <w:sz w:val="24"/>
          <w:szCs w:val="24"/>
          <w:lang w:val="ru-RU"/>
        </w:rPr>
        <w:t>NDIC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на 2024 год. В октябре 2023 года </w:t>
      </w:r>
      <w:r>
        <w:rPr>
          <w:rFonts w:ascii="Times New Roman" w:hAnsi="Times New Roman" w:cs="Times New Roman"/>
          <w:sz w:val="24"/>
          <w:szCs w:val="24"/>
          <w:lang w:val="ru-RU"/>
        </w:rPr>
        <w:t>NDIC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возобновил </w:t>
      </w:r>
      <w:r w:rsidR="00610BFE">
        <w:rPr>
          <w:rFonts w:ascii="Times New Roman" w:hAnsi="Times New Roman" w:cs="Times New Roman"/>
          <w:sz w:val="24"/>
          <w:szCs w:val="24"/>
          <w:lang w:val="ru-RU"/>
        </w:rPr>
        <w:t>проведение ежегодного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w:anchor="bookmark46" w:tooltip="Current Document">
        <w:proofErr w:type="gramStart"/>
        <w:r w:rsidR="00610BFE">
          <w:rPr>
            <w:rFonts w:ascii="Times New Roman" w:hAnsi="Times New Roman" w:cs="Times New Roman"/>
            <w:sz w:val="24"/>
            <w:szCs w:val="24"/>
            <w:lang w:val="ru-RU"/>
          </w:rPr>
          <w:t>с</w:t>
        </w:r>
        <w:r w:rsidR="004D2C53" w:rsidRPr="006B46C7">
          <w:rPr>
            <w:rFonts w:ascii="Times New Roman" w:hAnsi="Times New Roman" w:cs="Times New Roman"/>
            <w:sz w:val="24"/>
            <w:szCs w:val="24"/>
            <w:lang w:val="ru-RU"/>
          </w:rPr>
          <w:t>еминар</w:t>
        </w:r>
        <w:r w:rsidR="00610BFE">
          <w:rPr>
            <w:rFonts w:ascii="Times New Roman" w:hAnsi="Times New Roman" w:cs="Times New Roman"/>
            <w:sz w:val="24"/>
            <w:szCs w:val="24"/>
            <w:lang w:val="ru-RU"/>
          </w:rPr>
          <w:t>а</w:t>
        </w:r>
        <w:r w:rsidR="004D2C53"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49"/>
        </w:r>
        <w:r w:rsidR="004D2C53" w:rsidRPr="006B46C7">
          <w:rPr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</w:hyperlink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для</w:t>
      </w:r>
      <w:proofErr w:type="gramEnd"/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судей, подчеркивая проблемы, возникающие при вынесении судебных решений из-за нечеткого понимания системы страхования вкладов.</w:t>
      </w:r>
      <w:bookmarkStart w:id="166" w:name="bookmark199"/>
      <w:bookmarkStart w:id="167" w:name="bookmark197"/>
      <w:bookmarkStart w:id="168" w:name="bookmark198"/>
      <w:bookmarkStart w:id="169" w:name="bookmark200"/>
      <w:bookmarkStart w:id="170" w:name="bookmark196"/>
      <w:bookmarkEnd w:id="166"/>
    </w:p>
    <w:p w14:paraId="666F7395" w14:textId="77777777" w:rsidR="00F360A8" w:rsidRDefault="00F360A8" w:rsidP="00F360A8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  <w:bookmarkStart w:id="171" w:name="_Toc206774065"/>
      <w:r w:rsidRPr="00F360A8">
        <w:rPr>
          <w:rFonts w:ascii="Times New Roman" w:hAnsi="Times New Roman" w:cs="Times New Roman"/>
          <w:sz w:val="28"/>
          <w:szCs w:val="28"/>
          <w:lang w:val="ru-RU"/>
        </w:rPr>
        <w:t xml:space="preserve">4.2.3. </w:t>
      </w:r>
      <w:r w:rsidR="004D2C53" w:rsidRPr="00F360A8">
        <w:rPr>
          <w:rFonts w:ascii="Times New Roman" w:hAnsi="Times New Roman" w:cs="Times New Roman"/>
          <w:sz w:val="28"/>
          <w:szCs w:val="28"/>
          <w:lang w:val="ru-RU"/>
        </w:rPr>
        <w:t xml:space="preserve">Влияние </w:t>
      </w:r>
      <w:bookmarkEnd w:id="167"/>
      <w:bookmarkEnd w:id="168"/>
      <w:bookmarkEnd w:id="169"/>
      <w:bookmarkEnd w:id="170"/>
      <w:r w:rsidR="00A33E18" w:rsidRPr="00F360A8">
        <w:rPr>
          <w:rFonts w:ascii="Times New Roman" w:hAnsi="Times New Roman" w:cs="Times New Roman"/>
          <w:sz w:val="28"/>
          <w:szCs w:val="28"/>
          <w:lang w:val="ru-RU"/>
        </w:rPr>
        <w:t>банкротства банков на программы тестирования</w:t>
      </w:r>
      <w:bookmarkEnd w:id="171"/>
    </w:p>
    <w:p w14:paraId="36D268EF" w14:textId="77777777" w:rsidR="00F360A8" w:rsidRPr="00F360A8" w:rsidRDefault="00F360A8" w:rsidP="00F360A8">
      <w:pPr>
        <w:rPr>
          <w:lang w:val="ru-RU"/>
        </w:rPr>
      </w:pPr>
    </w:p>
    <w:p w14:paraId="3FF0AEEE" w14:textId="77777777" w:rsidR="00F360A8" w:rsidRDefault="00724CAE" w:rsidP="00F360A8">
      <w:pPr>
        <w:pStyle w:val="11"/>
        <w:pBdr>
          <w:bottom w:val="single" w:sz="4" w:space="0" w:color="auto"/>
        </w:pBdr>
        <w:spacing w:after="3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0A8">
        <w:rPr>
          <w:rFonts w:ascii="Times New Roman" w:hAnsi="Times New Roman" w:cs="Times New Roman"/>
          <w:sz w:val="24"/>
          <w:szCs w:val="24"/>
          <w:lang w:val="ru-RU"/>
        </w:rPr>
        <w:t xml:space="preserve">Анализ реальных кризисных ситуаций предоставляет организациям ценные данные для совершенствования систем готовности к кризисам и программ тестирования. Полученные выводы влияют на все аспекты </w:t>
      </w:r>
      <w:r w:rsidR="00B1472A" w:rsidRPr="00F360A8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F360A8">
        <w:rPr>
          <w:rFonts w:ascii="Times New Roman" w:hAnsi="Times New Roman" w:cs="Times New Roman"/>
          <w:sz w:val="24"/>
          <w:szCs w:val="24"/>
          <w:lang w:val="ru-RU"/>
        </w:rPr>
        <w:t>от определения приоритетных направлений проверок и состава участников до разработки сценариев и методики проведения учений. Как показывают опросы, извлеченные уроки систематически анализируются для выявления слабых мест и последующего включения корректирующих мер в программу тестирования. Федеральная корпорация по страхованию вкладов (</w:t>
      </w:r>
      <w:r w:rsidR="00805A6E" w:rsidRPr="00F360A8">
        <w:rPr>
          <w:rFonts w:ascii="Times New Roman" w:hAnsi="Times New Roman" w:cs="Times New Roman"/>
          <w:sz w:val="24"/>
          <w:szCs w:val="24"/>
          <w:lang w:val="ru-RU"/>
        </w:rPr>
        <w:t>FDIC</w:t>
      </w:r>
      <w:r w:rsidRPr="00F360A8">
        <w:rPr>
          <w:rFonts w:ascii="Times New Roman" w:hAnsi="Times New Roman" w:cs="Times New Roman"/>
          <w:sz w:val="24"/>
          <w:szCs w:val="24"/>
          <w:lang w:val="ru-RU"/>
        </w:rPr>
        <w:t xml:space="preserve">) на основании последних случаев банкротств банков подтвердила важность комплексного подхода к тестированию. Хотя базовая структура учебной программы </w:t>
      </w:r>
      <w:r w:rsidR="00270E37" w:rsidRPr="00F360A8">
        <w:rPr>
          <w:rFonts w:ascii="Times New Roman" w:hAnsi="Times New Roman" w:cs="Times New Roman"/>
          <w:sz w:val="24"/>
          <w:szCs w:val="24"/>
          <w:lang w:val="ru-RU"/>
        </w:rPr>
        <w:t>DRR FDIC</w:t>
      </w:r>
      <w:r w:rsidRPr="00F360A8">
        <w:rPr>
          <w:rFonts w:ascii="Times New Roman" w:hAnsi="Times New Roman" w:cs="Times New Roman"/>
          <w:sz w:val="24"/>
          <w:szCs w:val="24"/>
          <w:lang w:val="ru-RU"/>
        </w:rPr>
        <w:t xml:space="preserve"> останется неизменной в ближайшие год-два, ее содержание будет регулярно обновляться с учетом практического опыта, полученного как при реальных банкротствах, так и в ситуациях, близких к кризисным.</w:t>
      </w:r>
    </w:p>
    <w:p w14:paraId="6CBBAEAC" w14:textId="77777777" w:rsidR="00F360A8" w:rsidRDefault="00724CAE" w:rsidP="00F360A8">
      <w:pPr>
        <w:pStyle w:val="11"/>
        <w:pBdr>
          <w:bottom w:val="single" w:sz="4" w:space="0" w:color="auto"/>
        </w:pBdr>
        <w:spacing w:after="3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Обширная практика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FDIC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сфере урегулирования несостоятельности кредитных организаций позволяет проводить всестороннюю оценку всех элементов предварительного тестирования и проце</w:t>
      </w:r>
      <w:r w:rsidR="006B2311">
        <w:rPr>
          <w:rFonts w:ascii="Times New Roman" w:hAnsi="Times New Roman" w:cs="Times New Roman"/>
          <w:sz w:val="24"/>
          <w:szCs w:val="24"/>
          <w:lang w:val="ru-RU"/>
        </w:rPr>
        <w:t xml:space="preserve">дур урегулирования. Успешное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решение многочисленных случаев банкротств, включая </w:t>
      </w:r>
      <w:r w:rsidR="006B2311" w:rsidRPr="006B46C7">
        <w:rPr>
          <w:rFonts w:ascii="Times New Roman" w:hAnsi="Times New Roman" w:cs="Times New Roman"/>
          <w:sz w:val="24"/>
          <w:szCs w:val="24"/>
          <w:lang w:val="ru-RU"/>
        </w:rPr>
        <w:t>периоды,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2311">
        <w:rPr>
          <w:rFonts w:ascii="Times New Roman" w:hAnsi="Times New Roman" w:cs="Times New Roman"/>
          <w:sz w:val="24"/>
          <w:szCs w:val="24"/>
          <w:lang w:val="ru-RU"/>
        </w:rPr>
        <w:t>когда несколько банкротств происходят одновременно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стало практической проверкой всех компонентов антикризисных планов и планов по урегулированию несостоятельности, разработанных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FDIC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. Этот опыт подтвердил надежность применяемых методик и выявил направления для дальнейшего совершенствования.</w:t>
      </w:r>
    </w:p>
    <w:p w14:paraId="3366EE11" w14:textId="77777777" w:rsidR="00F360A8" w:rsidRDefault="004D2C53" w:rsidP="00F360A8">
      <w:pPr>
        <w:pStyle w:val="11"/>
        <w:pBdr>
          <w:bottom w:val="single" w:sz="4" w:space="0" w:color="auto"/>
        </w:pBdr>
        <w:spacing w:after="3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Для других респондентов реальные </w:t>
      </w:r>
      <w:r w:rsidR="00724CAE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случаи банкротства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привели к разработке новых сценариев тестирования и определению приоритетности тем тестирования. Реальный опыт подчеркнул необходимость более широкого вовлечения в процесс всех организаций, от высшего руководства до рядовых сотрудников, чтобы улучшить понимание обязанностей каждого отдела внутри и вне организации. Респонденты опроса также отметили, что практика </w:t>
      </w:r>
      <w:r w:rsidR="006345FD" w:rsidRPr="006B46C7">
        <w:rPr>
          <w:rFonts w:ascii="Times New Roman" w:hAnsi="Times New Roman" w:cs="Times New Roman"/>
          <w:sz w:val="24"/>
          <w:szCs w:val="24"/>
          <w:lang w:val="ru-RU"/>
        </w:rPr>
        <w:t>взаимодействия между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заинтересованными сторонами имеет решающее значение для улучшения времени реагирования при управлении кризисом.</w:t>
      </w:r>
      <w:r w:rsidR="006345FD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Поскольку </w:t>
      </w:r>
      <w:r w:rsidR="006345FD" w:rsidRPr="006B46C7">
        <w:rPr>
          <w:rFonts w:ascii="Times New Roman" w:hAnsi="Times New Roman" w:cs="Times New Roman"/>
          <w:sz w:val="24"/>
          <w:szCs w:val="24"/>
          <w:lang w:val="ru-RU"/>
        </w:rPr>
        <w:t>случаи банкротства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случаются нечасто, некоторые организации стремятся включить в свои программы тестирования выводы, сделанные на основе </w:t>
      </w:r>
      <w:r w:rsidR="006B2311">
        <w:rPr>
          <w:rFonts w:ascii="Times New Roman" w:hAnsi="Times New Roman" w:cs="Times New Roman"/>
          <w:sz w:val="24"/>
          <w:szCs w:val="24"/>
          <w:lang w:val="ru-RU"/>
        </w:rPr>
        <w:t>таких предкризисных ситуаций, которые могли, но, однако, не привели к наступлению несостоятельности или имели значительное иное влияние на устойчивость</w:t>
      </w:r>
      <w:hyperlink w:anchor="bookmark47" w:tooltip="Current Document"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50"/>
        </w:r>
      </w:hyperlink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Например, в 2019 году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AMF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пережил крупный инцидент, связанный с утечкой персональных данных 2,7 млн человек из </w:t>
      </w:r>
      <w:r w:rsidR="006345FD" w:rsidRPr="006B46C7">
        <w:rPr>
          <w:rFonts w:ascii="Times New Roman" w:hAnsi="Times New Roman" w:cs="Times New Roman"/>
          <w:sz w:val="24"/>
          <w:szCs w:val="24"/>
          <w:lang w:val="ru-RU"/>
        </w:rPr>
        <w:t>Национально значимого институ</w:t>
      </w:r>
      <w:r w:rsidR="009A279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6345FD" w:rsidRPr="006B46C7">
        <w:rPr>
          <w:rFonts w:ascii="Times New Roman" w:hAnsi="Times New Roman" w:cs="Times New Roman"/>
          <w:sz w:val="24"/>
          <w:szCs w:val="24"/>
          <w:lang w:val="ru-RU"/>
        </w:rPr>
        <w:t>а Квебека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, что привело к разработке новых сценариев кризиса ликвидности, стратегий вмешательства и планов тестирования.</w:t>
      </w:r>
      <w:bookmarkStart w:id="172" w:name="bookmark201"/>
    </w:p>
    <w:p w14:paraId="6C9C6910" w14:textId="0EC7C192" w:rsidR="001B0301" w:rsidRPr="006B46C7" w:rsidRDefault="004D2C53" w:rsidP="00F360A8">
      <w:pPr>
        <w:pStyle w:val="11"/>
        <w:pBdr>
          <w:bottom w:val="single" w:sz="4" w:space="0" w:color="auto"/>
        </w:pBdr>
        <w:spacing w:after="3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тестирования также могут извлечь пользу из опыта соответствующих событий в других юрисдикциях. Например, после банкротства американских банков в марте 2023 года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провел два </w:t>
      </w:r>
      <w:r w:rsidR="006B2311">
        <w:rPr>
          <w:rFonts w:ascii="Times New Roman" w:hAnsi="Times New Roman" w:cs="Times New Roman"/>
          <w:sz w:val="24"/>
          <w:szCs w:val="24"/>
          <w:lang w:val="ru-RU"/>
        </w:rPr>
        <w:t>теоретических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учения </w:t>
      </w:r>
      <w:r w:rsidR="006B231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внутри страны и совместно с органами страховочной сети </w:t>
      </w:r>
      <w:r w:rsidR="006B231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для отработки ответных мер Канады на сценарий, подобный сценарию </w:t>
      </w:r>
      <w:r w:rsidR="006B2311" w:rsidRPr="006B2311">
        <w:rPr>
          <w:rFonts w:ascii="Times New Roman" w:hAnsi="Times New Roman" w:cs="Times New Roman"/>
          <w:sz w:val="24"/>
          <w:szCs w:val="24"/>
          <w:lang w:val="ru-RU"/>
        </w:rPr>
        <w:t xml:space="preserve">Silicon Valley Bank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Канаде. Аналогичным образом </w:t>
      </w:r>
      <w:r w:rsidR="006B2311">
        <w:rPr>
          <w:rFonts w:ascii="Times New Roman" w:hAnsi="Times New Roman" w:cs="Times New Roman"/>
          <w:sz w:val="24"/>
          <w:szCs w:val="24"/>
        </w:rPr>
        <w:t>PIDM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включил уроки, извлеченные из </w:t>
      </w:r>
      <w:r w:rsidR="006B2311">
        <w:rPr>
          <w:rFonts w:ascii="Times New Roman" w:hAnsi="Times New Roman" w:cs="Times New Roman"/>
          <w:sz w:val="24"/>
          <w:szCs w:val="24"/>
          <w:lang w:val="ru-RU"/>
        </w:rPr>
        <w:t>кейсов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</w:rPr>
        <w:t>Credit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</w:rPr>
        <w:t>Suisse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6B46C7">
        <w:rPr>
          <w:rFonts w:ascii="Times New Roman" w:hAnsi="Times New Roman" w:cs="Times New Roman"/>
          <w:sz w:val="24"/>
          <w:szCs w:val="24"/>
        </w:rPr>
        <w:t>Silicon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</w:rPr>
        <w:t>Valley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</w:rPr>
        <w:t>Bank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r w:rsidR="006B2311">
        <w:rPr>
          <w:rFonts w:ascii="Times New Roman" w:hAnsi="Times New Roman" w:cs="Times New Roman"/>
          <w:sz w:val="24"/>
          <w:szCs w:val="24"/>
          <w:lang w:val="ru-RU"/>
        </w:rPr>
        <w:t>теоретические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учения между </w:t>
      </w:r>
      <w:r w:rsidR="006B2311">
        <w:rPr>
          <w:rFonts w:ascii="Times New Roman" w:hAnsi="Times New Roman" w:cs="Times New Roman"/>
          <w:sz w:val="24"/>
          <w:szCs w:val="24"/>
        </w:rPr>
        <w:t>PIDM</w:t>
      </w:r>
      <w:r w:rsidR="006B2311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и Центральным банком Малайзии. При этом программы испытаний должны сочетать в себе использование реальных событий и нацеленность на повышение готовности к будущим вызовам. Учения не должны основываться исключительно на событиях прошлого, поскольку кризисы вряд ли останутся неизменными, а преимуществом тестирования является возможность разработки перспективных сценариев, сохраняющих элемент неожиданности.</w:t>
      </w:r>
      <w:bookmarkEnd w:id="172"/>
    </w:p>
    <w:p w14:paraId="477776EF" w14:textId="629D03E0" w:rsidR="001B0301" w:rsidRDefault="00F360A8" w:rsidP="00F360A8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  <w:bookmarkStart w:id="173" w:name="bookmark204"/>
      <w:bookmarkStart w:id="174" w:name="_Toc206774066"/>
      <w:bookmarkEnd w:id="173"/>
      <w:r w:rsidRPr="00F360A8">
        <w:rPr>
          <w:rFonts w:ascii="Times New Roman" w:hAnsi="Times New Roman" w:cs="Times New Roman"/>
          <w:sz w:val="28"/>
          <w:szCs w:val="28"/>
          <w:lang w:val="ru-RU"/>
        </w:rPr>
        <w:t xml:space="preserve">4.2.3. </w:t>
      </w:r>
      <w:r w:rsidR="00801394" w:rsidRPr="00F360A8">
        <w:rPr>
          <w:rFonts w:ascii="Times New Roman" w:hAnsi="Times New Roman" w:cs="Times New Roman"/>
          <w:sz w:val="28"/>
          <w:szCs w:val="28"/>
          <w:lang w:val="ru-RU"/>
        </w:rPr>
        <w:t>Ограничения моделирования</w:t>
      </w:r>
      <w:bookmarkEnd w:id="174"/>
    </w:p>
    <w:p w14:paraId="7C3270DB" w14:textId="77777777" w:rsidR="00F360A8" w:rsidRPr="00F360A8" w:rsidRDefault="00F360A8" w:rsidP="00F360A8">
      <w:pPr>
        <w:rPr>
          <w:lang w:val="ru-RU"/>
        </w:rPr>
      </w:pPr>
    </w:p>
    <w:p w14:paraId="14EAAB4E" w14:textId="6F3D418D" w:rsidR="00FC1A62" w:rsidRPr="006B2311" w:rsidRDefault="00FC1A62" w:rsidP="006B2311">
      <w:pPr>
        <w:pStyle w:val="11"/>
        <w:spacing w:after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11">
        <w:rPr>
          <w:rFonts w:ascii="Times New Roman" w:hAnsi="Times New Roman" w:cs="Times New Roman"/>
          <w:sz w:val="24"/>
          <w:szCs w:val="24"/>
          <w:lang w:val="ru-RU"/>
        </w:rPr>
        <w:t xml:space="preserve">Проведенное исследование, направленное на сравнительный анализ учений и реальных кризисных ситуаций, позволило выявить ряд неучтенных в ходе тестирования проблем. К основным выявленным </w:t>
      </w:r>
      <w:r w:rsidR="00801394">
        <w:rPr>
          <w:rFonts w:ascii="Times New Roman" w:hAnsi="Times New Roman" w:cs="Times New Roman"/>
          <w:sz w:val="24"/>
          <w:szCs w:val="24"/>
          <w:lang w:val="ru-RU"/>
        </w:rPr>
        <w:t>ограничениям</w:t>
      </w:r>
      <w:r w:rsidRPr="006B2311">
        <w:rPr>
          <w:rFonts w:ascii="Times New Roman" w:hAnsi="Times New Roman" w:cs="Times New Roman"/>
          <w:sz w:val="24"/>
          <w:szCs w:val="24"/>
          <w:lang w:val="ru-RU"/>
        </w:rPr>
        <w:t xml:space="preserve"> относятся:</w:t>
      </w:r>
    </w:p>
    <w:p w14:paraId="09BA9C38" w14:textId="77777777" w:rsidR="00FC1A62" w:rsidRPr="006B2311" w:rsidRDefault="00FC1A62" w:rsidP="006B2311">
      <w:pPr>
        <w:pStyle w:val="11"/>
        <w:numPr>
          <w:ilvl w:val="0"/>
          <w:numId w:val="11"/>
        </w:numPr>
        <w:tabs>
          <w:tab w:val="left" w:pos="729"/>
        </w:tabs>
        <w:spacing w:after="0"/>
        <w:ind w:left="720" w:hanging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11">
        <w:rPr>
          <w:rFonts w:ascii="Times New Roman" w:hAnsi="Times New Roman" w:cs="Times New Roman"/>
          <w:sz w:val="24"/>
          <w:szCs w:val="24"/>
          <w:lang w:val="ru-RU"/>
        </w:rPr>
        <w:t>Технические сложности, связанные с ИТ-инфраструктурой обанкротившихся банков</w:t>
      </w:r>
    </w:p>
    <w:p w14:paraId="5707C265" w14:textId="77777777" w:rsidR="00FC1A62" w:rsidRPr="006B2311" w:rsidRDefault="00FC1A62" w:rsidP="006B2311">
      <w:pPr>
        <w:pStyle w:val="11"/>
        <w:numPr>
          <w:ilvl w:val="0"/>
          <w:numId w:val="11"/>
        </w:numPr>
        <w:tabs>
          <w:tab w:val="left" w:pos="729"/>
        </w:tabs>
        <w:spacing w:after="0"/>
        <w:ind w:left="720" w:hanging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11">
        <w:rPr>
          <w:rFonts w:ascii="Times New Roman" w:hAnsi="Times New Roman" w:cs="Times New Roman"/>
          <w:sz w:val="24"/>
          <w:szCs w:val="24"/>
          <w:lang w:val="ru-RU"/>
        </w:rPr>
        <w:t>Непредвиденные правовые ограничения и влияние человеческого фактора</w:t>
      </w:r>
    </w:p>
    <w:p w14:paraId="5FB9836B" w14:textId="325393C8" w:rsidR="00FC1A62" w:rsidRPr="006B2311" w:rsidRDefault="00FC1A62" w:rsidP="006B2311">
      <w:pPr>
        <w:pStyle w:val="11"/>
        <w:numPr>
          <w:ilvl w:val="0"/>
          <w:numId w:val="11"/>
        </w:numPr>
        <w:tabs>
          <w:tab w:val="left" w:pos="729"/>
        </w:tabs>
        <w:spacing w:after="0"/>
        <w:ind w:left="720" w:hanging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11">
        <w:rPr>
          <w:rFonts w:ascii="Times New Roman" w:hAnsi="Times New Roman" w:cs="Times New Roman"/>
          <w:sz w:val="24"/>
          <w:szCs w:val="24"/>
          <w:lang w:val="ru-RU"/>
        </w:rPr>
        <w:t>Расхождения в распоряжении временем в учебных и реальных условиях</w:t>
      </w:r>
    </w:p>
    <w:p w14:paraId="6AF37AD5" w14:textId="77777777" w:rsidR="00FC1A62" w:rsidRPr="006B2311" w:rsidRDefault="00FC1A62" w:rsidP="006B2311">
      <w:pPr>
        <w:pStyle w:val="11"/>
        <w:numPr>
          <w:ilvl w:val="0"/>
          <w:numId w:val="11"/>
        </w:numPr>
        <w:tabs>
          <w:tab w:val="left" w:pos="729"/>
        </w:tabs>
        <w:spacing w:after="0"/>
        <w:ind w:left="720" w:hanging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11">
        <w:rPr>
          <w:rFonts w:ascii="Times New Roman" w:hAnsi="Times New Roman" w:cs="Times New Roman"/>
          <w:sz w:val="24"/>
          <w:szCs w:val="24"/>
          <w:lang w:val="ru-RU"/>
        </w:rPr>
        <w:t>Недостаточное соответствие темпов моделирования скорости развития реальных кризисов</w:t>
      </w:r>
    </w:p>
    <w:p w14:paraId="19BC2ADA" w14:textId="77777777" w:rsidR="00FC1A62" w:rsidRDefault="00FC1A62" w:rsidP="006B2311">
      <w:pPr>
        <w:pStyle w:val="11"/>
        <w:numPr>
          <w:ilvl w:val="0"/>
          <w:numId w:val="11"/>
        </w:numPr>
        <w:tabs>
          <w:tab w:val="left" w:pos="729"/>
        </w:tabs>
        <w:spacing w:after="0"/>
        <w:ind w:left="720" w:hanging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11">
        <w:rPr>
          <w:rFonts w:ascii="Times New Roman" w:hAnsi="Times New Roman" w:cs="Times New Roman"/>
          <w:sz w:val="24"/>
          <w:szCs w:val="24"/>
          <w:lang w:val="ru-RU"/>
        </w:rPr>
        <w:t>Специфические сложности, обусловленные профилем и структурой проблемных банков</w:t>
      </w:r>
    </w:p>
    <w:p w14:paraId="7298116D" w14:textId="77777777" w:rsidR="006B2311" w:rsidRPr="006B2311" w:rsidRDefault="006B2311" w:rsidP="006B2311">
      <w:pPr>
        <w:pStyle w:val="11"/>
        <w:tabs>
          <w:tab w:val="left" w:pos="729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508980" w14:textId="07B58D48" w:rsidR="001B0301" w:rsidRPr="006B46C7" w:rsidRDefault="004D2C53">
      <w:pPr>
        <w:pStyle w:val="11"/>
        <w:spacing w:after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5" w:name="bookmark206"/>
      <w:bookmarkStart w:id="176" w:name="bookmark207"/>
      <w:bookmarkStart w:id="177" w:name="bookmark208"/>
      <w:bookmarkStart w:id="178" w:name="bookmark209"/>
      <w:bookmarkStart w:id="179" w:name="bookmark210"/>
      <w:bookmarkEnd w:id="175"/>
      <w:bookmarkEnd w:id="176"/>
      <w:bookmarkEnd w:id="177"/>
      <w:bookmarkEnd w:id="178"/>
      <w:bookmarkEnd w:id="179"/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Последние два замечания подчеркивают важность регулярного тестирования различных сценариев </w:t>
      </w:r>
      <w:r w:rsidR="005E23CD">
        <w:rPr>
          <w:rFonts w:ascii="Times New Roman" w:hAnsi="Times New Roman" w:cs="Times New Roman"/>
          <w:sz w:val="24"/>
          <w:szCs w:val="24"/>
          <w:lang w:val="ru-RU"/>
        </w:rPr>
        <w:t>кризиса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(например, быстр</w:t>
      </w:r>
      <w:r w:rsidR="005E23CD"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23CD">
        <w:rPr>
          <w:rFonts w:ascii="Times New Roman" w:hAnsi="Times New Roman" w:cs="Times New Roman"/>
          <w:sz w:val="24"/>
          <w:szCs w:val="24"/>
          <w:lang w:val="ru-RU"/>
        </w:rPr>
        <w:t>крах, несколько банкротство одно за другим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 для банков любого размера. Такая подготовка важна, поскольку методы урегулирования и препятствия для возможности урегулирования несостоятельности будут сильно отличаться в зависимости от тестируемого сценария. Некоторые юрисдикции указали, что во время реального события время более ограничено, и способность быстро реагировать имеет решающее значение для успеха. Например,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DNB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заявил, что во время реальной выплаты возникли проблемы с обеспечением ресурсами, поскольку людям часто приходилось работать сразу с несколькими потоками, в то время как во время тестирования размер и возможности команд казались подходящими. Аналогичным образом,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IPAB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обнаружил нехватку персонала в области урегулирования несостоятельности, систем информационных технологий и т. д. Эти наблюдения подчеркивают, что некоторые упражнения должны проводиться в режиме 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реального времени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чтобы дать участникам возможность почувствовать, что такое кризис. Участники должны работать в условиях дефицита времени, обрабатывать большие объемы несовершенной информации, сталкиваться с меняющимися проблемами и каскадными </w:t>
      </w:r>
      <w:r w:rsidR="009F76AC">
        <w:rPr>
          <w:rFonts w:ascii="Times New Roman" w:hAnsi="Times New Roman" w:cs="Times New Roman"/>
          <w:sz w:val="24"/>
          <w:szCs w:val="24"/>
          <w:lang w:val="ru-RU"/>
        </w:rPr>
        <w:t>точками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принятия решений.</w:t>
      </w:r>
    </w:p>
    <w:p w14:paraId="57B7AD0B" w14:textId="5AE18F4C" w:rsidR="001B0301" w:rsidRPr="006B46C7" w:rsidRDefault="004D2C53">
      <w:pPr>
        <w:pStyle w:val="11"/>
        <w:spacing w:after="3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0" w:name="bookmark211"/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Несмотря на то, что тестовые 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проверки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могут быть эффективным инструментом подготовки страховщиков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к решению многих реальных задач, некоторые сложности невозможно предусмотреть. Поскольку каждый </w:t>
      </w:r>
      <w:r w:rsidR="009F76AC">
        <w:rPr>
          <w:rFonts w:ascii="Times New Roman" w:hAnsi="Times New Roman" w:cs="Times New Roman"/>
          <w:sz w:val="24"/>
          <w:szCs w:val="24"/>
          <w:lang w:val="ru-RU"/>
        </w:rPr>
        <w:t>кризис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уникален, не все элементы можно предусмотреть (например, причину, скорость развития событий и т. д.). Непредсказуемое поведение людей и организационная динамика также являются факторами, которые будут влиять на принятие решений в периоды высоко</w:t>
      </w:r>
      <w:r w:rsidR="009F76AC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76AC">
        <w:rPr>
          <w:rFonts w:ascii="Times New Roman" w:hAnsi="Times New Roman" w:cs="Times New Roman"/>
          <w:sz w:val="24"/>
          <w:szCs w:val="24"/>
          <w:lang w:val="ru-RU"/>
        </w:rPr>
        <w:t>нагрузки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9F76AC">
        <w:rPr>
          <w:rFonts w:ascii="Times New Roman" w:hAnsi="Times New Roman" w:cs="Times New Roman"/>
          <w:sz w:val="24"/>
          <w:szCs w:val="24"/>
          <w:lang w:val="ru-RU"/>
        </w:rPr>
        <w:t>повышенных требований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. Кроме того, учения часто предполагают упрощение сложных процессов, которые могут не отражать всех тонкостей реального кризиса. Опыт респондентов подчеркивает важность оперативности и адаптивности, и, хотя нет двух одинаковых кризисов, частые испытания, несомненно, способствуют более своевременному и скоординированному реагированию на реальные ситуации.</w:t>
      </w:r>
      <w:bookmarkEnd w:id="180"/>
    </w:p>
    <w:p w14:paraId="3C766C04" w14:textId="4C5DE71E" w:rsidR="001B0301" w:rsidRDefault="00F360A8" w:rsidP="00F360A8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  <w:bookmarkStart w:id="181" w:name="bookmark212"/>
      <w:bookmarkStart w:id="182" w:name="_Toc206774067"/>
      <w:bookmarkEnd w:id="181"/>
      <w:r w:rsidRPr="00F360A8">
        <w:rPr>
          <w:rFonts w:ascii="Times New Roman" w:hAnsi="Times New Roman" w:cs="Times New Roman"/>
          <w:sz w:val="28"/>
          <w:szCs w:val="28"/>
          <w:lang w:val="ru-RU"/>
        </w:rPr>
        <w:t xml:space="preserve">4.3. </w:t>
      </w:r>
      <w:r w:rsidR="00801394" w:rsidRPr="00F360A8">
        <w:rPr>
          <w:rFonts w:ascii="Times New Roman" w:hAnsi="Times New Roman" w:cs="Times New Roman"/>
          <w:sz w:val="28"/>
          <w:szCs w:val="28"/>
          <w:lang w:val="ru-RU"/>
        </w:rPr>
        <w:t>Сведения об изменениях</w:t>
      </w:r>
      <w:r w:rsidR="004D2C53" w:rsidRPr="00F360A8">
        <w:rPr>
          <w:rFonts w:ascii="Times New Roman" w:hAnsi="Times New Roman" w:cs="Times New Roman"/>
          <w:sz w:val="28"/>
          <w:szCs w:val="28"/>
          <w:lang w:val="ru-RU"/>
        </w:rPr>
        <w:t>, полученные от участников док</w:t>
      </w:r>
      <w:r w:rsidR="00495DA4" w:rsidRPr="00F360A8">
        <w:rPr>
          <w:rFonts w:ascii="Times New Roman" w:hAnsi="Times New Roman" w:cs="Times New Roman"/>
          <w:sz w:val="28"/>
          <w:szCs w:val="28"/>
          <w:lang w:val="ru-RU"/>
        </w:rPr>
        <w:t xml:space="preserve">лада </w:t>
      </w:r>
      <w:r w:rsidR="00E72712" w:rsidRPr="00F360A8">
        <w:rPr>
          <w:rFonts w:ascii="Times New Roman" w:hAnsi="Times New Roman" w:cs="Times New Roman"/>
          <w:sz w:val="28"/>
          <w:szCs w:val="28"/>
          <w:lang w:val="ru-RU"/>
        </w:rPr>
        <w:t>RCNA</w:t>
      </w:r>
      <w:r w:rsidR="004D2C53" w:rsidRPr="00F360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5DA4" w:rsidRPr="00F360A8">
        <w:rPr>
          <w:rFonts w:ascii="Times New Roman" w:hAnsi="Times New Roman" w:cs="Times New Roman"/>
          <w:sz w:val="28"/>
          <w:szCs w:val="28"/>
          <w:lang w:val="ru-RU"/>
        </w:rPr>
        <w:t>за период с</w:t>
      </w:r>
      <w:r w:rsidR="009F76AC" w:rsidRPr="00F360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2C53" w:rsidRPr="00F360A8">
        <w:rPr>
          <w:rFonts w:ascii="Times New Roman" w:hAnsi="Times New Roman" w:cs="Times New Roman"/>
          <w:sz w:val="28"/>
          <w:szCs w:val="28"/>
          <w:lang w:val="ru-RU"/>
        </w:rPr>
        <w:t>2021 года</w:t>
      </w:r>
      <w:bookmarkEnd w:id="182"/>
    </w:p>
    <w:p w14:paraId="6F1091DB" w14:textId="77777777" w:rsidR="00F360A8" w:rsidRPr="00F360A8" w:rsidRDefault="00F360A8" w:rsidP="00F360A8">
      <w:pPr>
        <w:rPr>
          <w:lang w:val="ru-RU"/>
        </w:rPr>
      </w:pPr>
    </w:p>
    <w:p w14:paraId="261ABA4F" w14:textId="7F00643A" w:rsidR="001B0301" w:rsidRDefault="004D2C53" w:rsidP="009F76AC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заключительном разделе анализа представлен обзор последних событий и прогресса, достигнутого юрисдикциями </w:t>
      </w:r>
      <w:r w:rsidR="00E72712">
        <w:rPr>
          <w:rFonts w:ascii="Times New Roman" w:hAnsi="Times New Roman" w:cs="Times New Roman"/>
          <w:sz w:val="24"/>
          <w:szCs w:val="24"/>
          <w:lang w:val="ru-RU"/>
        </w:rPr>
        <w:t>RCNA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после публикации исследовательского документа 2021 года. Эти организации одними из первых повысили готовность к кризисным ситуациям и возможности управления ими путем тестирования и продолжают добиваться успехов в повышении готовности своих организаций к кризисным ситуациям с помощью регулярных </w:t>
      </w:r>
      <w:r w:rsidR="003A5897" w:rsidRPr="006B46C7">
        <w:rPr>
          <w:rFonts w:ascii="Times New Roman" w:hAnsi="Times New Roman" w:cs="Times New Roman"/>
          <w:sz w:val="24"/>
          <w:szCs w:val="24"/>
          <w:lang w:val="ru-RU"/>
        </w:rPr>
        <w:t>теоретических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имитационных и </w:t>
      </w:r>
      <w:r w:rsidR="00803224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практических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учений.</w:t>
      </w:r>
    </w:p>
    <w:p w14:paraId="5816E92E" w14:textId="77777777" w:rsidR="00801394" w:rsidRPr="006B46C7" w:rsidRDefault="00801394" w:rsidP="009F76AC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6A2EE8" w14:textId="2F1F1FE2" w:rsidR="001B0301" w:rsidRPr="00801394" w:rsidRDefault="004D2C53" w:rsidP="009F76AC">
      <w:pPr>
        <w:pStyle w:val="11"/>
        <w:pBdr>
          <w:top w:val="single" w:sz="4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color w:val="1E2E8B"/>
          <w:sz w:val="24"/>
          <w:szCs w:val="24"/>
        </w:rPr>
        <w:t xml:space="preserve">Основные </w:t>
      </w:r>
      <w:r w:rsidR="00801394">
        <w:rPr>
          <w:rFonts w:ascii="Times New Roman" w:hAnsi="Times New Roman" w:cs="Times New Roman"/>
          <w:color w:val="1E2E8B"/>
          <w:sz w:val="24"/>
          <w:szCs w:val="24"/>
          <w:lang w:val="ru-RU"/>
        </w:rPr>
        <w:t>выводы</w:t>
      </w:r>
    </w:p>
    <w:p w14:paraId="06965BB1" w14:textId="5AB237F3" w:rsidR="001B0301" w:rsidRPr="006B46C7" w:rsidRDefault="00805A6E">
      <w:pPr>
        <w:pStyle w:val="11"/>
        <w:numPr>
          <w:ilvl w:val="0"/>
          <w:numId w:val="11"/>
        </w:numPr>
        <w:tabs>
          <w:tab w:val="left" w:pos="443"/>
        </w:tabs>
        <w:spacing w:after="0" w:line="252" w:lineRule="auto"/>
        <w:ind w:left="500" w:hanging="5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3" w:name="bookmark213"/>
      <w:bookmarkEnd w:id="183"/>
      <w:r>
        <w:rPr>
          <w:rFonts w:ascii="Times New Roman" w:hAnsi="Times New Roman" w:cs="Times New Roman"/>
          <w:sz w:val="24"/>
          <w:szCs w:val="24"/>
          <w:lang w:val="ru-RU"/>
        </w:rPr>
        <w:t>FDIC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>IPAB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справились с реальными банкротствами банков, поддерживая культуру тестирования, обучения и постоянного совершенствования.</w:t>
      </w:r>
    </w:p>
    <w:p w14:paraId="51484DDF" w14:textId="76875448" w:rsidR="001B0301" w:rsidRPr="006B46C7" w:rsidRDefault="004D2C53" w:rsidP="009F76AC">
      <w:pPr>
        <w:pStyle w:val="11"/>
        <w:numPr>
          <w:ilvl w:val="0"/>
          <w:numId w:val="11"/>
        </w:numPr>
        <w:tabs>
          <w:tab w:val="left" w:pos="443"/>
        </w:tabs>
        <w:spacing w:after="0" w:line="252" w:lineRule="auto"/>
        <w:ind w:left="500" w:hanging="5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4" w:name="bookmark214"/>
      <w:bookmarkEnd w:id="184"/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Отдел </w:t>
      </w:r>
      <w:r w:rsidR="009F76AC" w:rsidRPr="009F76AC">
        <w:rPr>
          <w:rFonts w:ascii="Times New Roman" w:hAnsi="Times New Roman" w:cs="Times New Roman"/>
          <w:sz w:val="24"/>
          <w:szCs w:val="24"/>
          <w:lang w:val="ru-RU"/>
        </w:rPr>
        <w:t xml:space="preserve">урегулирования несостоятельности и конкурсного производства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270E37" w:rsidRPr="00270E37">
        <w:rPr>
          <w:rFonts w:ascii="Times New Roman" w:hAnsi="Times New Roman" w:cs="Times New Roman"/>
          <w:sz w:val="24"/>
          <w:szCs w:val="24"/>
          <w:lang w:val="ru-RU"/>
        </w:rPr>
        <w:t>DRR FDIC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) создал программу закрытия банков</w:t>
      </w:r>
      <w:r w:rsidR="009A2792">
        <w:rPr>
          <w:rFonts w:ascii="Times New Roman" w:hAnsi="Times New Roman" w:cs="Times New Roman"/>
          <w:sz w:val="24"/>
          <w:szCs w:val="24"/>
          <w:lang w:val="ru-RU"/>
        </w:rPr>
        <w:t xml:space="preserve"> между отделами,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предлагающую тренинги по различным направлениям работы по закрытию банков.</w:t>
      </w:r>
    </w:p>
    <w:p w14:paraId="5DE0432B" w14:textId="104AF66C" w:rsidR="001B0301" w:rsidRPr="006B46C7" w:rsidRDefault="004D2C53">
      <w:pPr>
        <w:pStyle w:val="11"/>
        <w:numPr>
          <w:ilvl w:val="0"/>
          <w:numId w:val="11"/>
        </w:numPr>
        <w:tabs>
          <w:tab w:val="left" w:pos="443"/>
        </w:tabs>
        <w:spacing w:after="0" w:line="254" w:lineRule="auto"/>
        <w:ind w:left="500" w:hanging="5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5" w:name="bookmark215"/>
      <w:bookmarkEnd w:id="185"/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После организационной реструктуризации в 2022 году </w:t>
      </w:r>
      <w:r w:rsidR="009F76AC">
        <w:rPr>
          <w:rFonts w:ascii="Times New Roman" w:hAnsi="Times New Roman" w:cs="Times New Roman"/>
          <w:sz w:val="24"/>
          <w:szCs w:val="24"/>
        </w:rPr>
        <w:t>AMF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создал специальную функцию моделирования для повышения оперативности и улучшения коммуникации и координации действий между департаментами.</w:t>
      </w:r>
    </w:p>
    <w:p w14:paraId="7F7DBCAE" w14:textId="7EB76B4F" w:rsidR="001B0301" w:rsidRPr="006B46C7" w:rsidRDefault="004D2C53">
      <w:pPr>
        <w:pStyle w:val="11"/>
        <w:numPr>
          <w:ilvl w:val="0"/>
          <w:numId w:val="11"/>
        </w:numPr>
        <w:pBdr>
          <w:bottom w:val="single" w:sz="4" w:space="0" w:color="auto"/>
        </w:pBdr>
        <w:tabs>
          <w:tab w:val="left" w:pos="443"/>
        </w:tabs>
        <w:spacing w:after="240" w:line="254" w:lineRule="auto"/>
        <w:ind w:left="500" w:hanging="5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6" w:name="bookmark216"/>
      <w:bookmarkEnd w:id="186"/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2022 году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провел механизм 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6B46C7">
        <w:rPr>
          <w:rFonts w:ascii="Times New Roman" w:hAnsi="Times New Roman" w:cs="Times New Roman"/>
          <w:sz w:val="24"/>
          <w:szCs w:val="24"/>
        </w:rPr>
        <w:t>bail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B46C7">
        <w:rPr>
          <w:rFonts w:ascii="Times New Roman" w:hAnsi="Times New Roman" w:cs="Times New Roman"/>
          <w:sz w:val="24"/>
          <w:szCs w:val="24"/>
        </w:rPr>
        <w:t>in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 участием системно значимого банка, провинциальных властей и отраслевых партнеров, что значительно расширило масштабы тестирования готовности к кризису и управления им и заложило основу для будущих учений.</w:t>
      </w:r>
    </w:p>
    <w:p w14:paraId="1AB2E105" w14:textId="2B871B03" w:rsidR="00B02E89" w:rsidRDefault="00B02E89" w:rsidP="00F360A8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  <w:bookmarkStart w:id="187" w:name="_Toc206774068"/>
      <w:r w:rsidRPr="00F360A8">
        <w:rPr>
          <w:rFonts w:ascii="Times New Roman" w:hAnsi="Times New Roman" w:cs="Times New Roman"/>
          <w:sz w:val="28"/>
          <w:szCs w:val="28"/>
          <w:lang w:val="ru-RU"/>
        </w:rPr>
        <w:t xml:space="preserve">4.3.1. </w:t>
      </w:r>
      <w:r w:rsidR="000B5403" w:rsidRPr="00F360A8">
        <w:rPr>
          <w:rFonts w:ascii="Times New Roman" w:hAnsi="Times New Roman" w:cs="Times New Roman"/>
          <w:sz w:val="28"/>
          <w:szCs w:val="28"/>
          <w:lang w:val="ru-RU"/>
        </w:rPr>
        <w:t>AMF</w:t>
      </w:r>
      <w:r w:rsidR="009F76AC" w:rsidRPr="00F360A8">
        <w:rPr>
          <w:rFonts w:ascii="Times New Roman" w:hAnsi="Times New Roman" w:cs="Times New Roman"/>
          <w:sz w:val="28"/>
          <w:szCs w:val="28"/>
          <w:lang w:val="ru-RU"/>
        </w:rPr>
        <w:t xml:space="preserve"> (Квебек)</w:t>
      </w:r>
      <w:bookmarkEnd w:id="187"/>
    </w:p>
    <w:p w14:paraId="65DF0DF5" w14:textId="77777777" w:rsidR="00F360A8" w:rsidRPr="00F360A8" w:rsidRDefault="00F360A8" w:rsidP="00F360A8">
      <w:pPr>
        <w:rPr>
          <w:lang w:val="ru-RU"/>
        </w:rPr>
      </w:pPr>
    </w:p>
    <w:p w14:paraId="5B6F433F" w14:textId="4906E652" w:rsidR="00B02E89" w:rsidRPr="006B46C7" w:rsidRDefault="000B5403" w:rsidP="009F76AC">
      <w:pPr>
        <w:pStyle w:val="a4"/>
        <w:spacing w:after="12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AMF</w:t>
      </w:r>
      <w:r w:rsidR="00B02E89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работает над своей внутренней программой повышения операционной устойчивости. Следующими шагами станут диагностика существующей ситуации и обновление политики обеспечения непрерывности деятельности. В настоящее время в соответствии с политикой интегрированной системы управления рисками разрабатывается профиль рисков, связанных с непрерывностью деятельности.</w:t>
      </w:r>
    </w:p>
    <w:p w14:paraId="15BC6D47" w14:textId="3D3EE7D1" w:rsidR="001B0301" w:rsidRPr="006B46C7" w:rsidRDefault="00B02E89" w:rsidP="009F76AC">
      <w:pPr>
        <w:pStyle w:val="11"/>
        <w:spacing w:after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декабре 2022 года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AMF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модернизировал структуру своего Надзора за платежеспособностью (переименованного в Надзор за финансовыми организациями</w:t>
      </w:r>
      <w:r w:rsidR="009F76A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9F76AC" w:rsidRPr="009F76AC">
        <w:rPr>
          <w:rFonts w:ascii="Times New Roman" w:hAnsi="Times New Roman" w:cs="Times New Roman"/>
          <w:sz w:val="24"/>
          <w:szCs w:val="24"/>
          <w:lang w:val="ru-RU"/>
        </w:rPr>
        <w:t>Superintendency of Financial Institutions</w:t>
      </w:r>
      <w:r w:rsidR="009F76A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), чтобы лучше использовать свою роль интегрированного регулятора, укрепить целостное видение и улучшить способность реагировать на крупные риски, приняв подход, основанный на рисках, а не на организациях. Был создан департамент 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Надзор - новые риски</w:t>
      </w:r>
      <w:r w:rsidR="009F76A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9F76AC" w:rsidRPr="009F76AC">
        <w:rPr>
          <w:rFonts w:ascii="Times New Roman" w:hAnsi="Times New Roman" w:cs="Times New Roman"/>
          <w:sz w:val="24"/>
          <w:szCs w:val="24"/>
          <w:lang w:val="ru-RU"/>
        </w:rPr>
        <w:t>Supervision – Emerging Risks</w:t>
      </w:r>
      <w:r w:rsidR="009F76A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а также два координационных комитета </w:t>
      </w:r>
      <w:r w:rsidR="009F76A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Комитет по рискам (тактический уровень) и Комитет по вмешательству (исполнительный уровень), объединяющие </w:t>
      </w:r>
      <w:r w:rsidR="009F76AC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ункции надзора, урегулирования несостоятельности и страхования вкладов. В целях повышения оперативности и улучшения коммуникации и координации между департаментами и комитетами (департамент пруденциальной политики и моделирования) проведение учений по подготовке к кризису было поручено уже существующему департаменту.</w:t>
      </w:r>
    </w:p>
    <w:p w14:paraId="78B8FF40" w14:textId="1FF579A3" w:rsidR="001B0301" w:rsidRPr="006B46C7" w:rsidRDefault="004D2C53">
      <w:pPr>
        <w:pStyle w:val="11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>Департамент пруденциальной политики и моделирования</w:t>
      </w:r>
      <w:r w:rsidR="009F76A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9F76AC" w:rsidRPr="009F76AC">
        <w:rPr>
          <w:rFonts w:ascii="Times New Roman" w:hAnsi="Times New Roman" w:cs="Times New Roman"/>
          <w:sz w:val="24"/>
          <w:szCs w:val="24"/>
          <w:lang w:val="ru-RU"/>
        </w:rPr>
        <w:t>Prudential Pol</w:t>
      </w:r>
      <w:r w:rsidR="009F76AC">
        <w:rPr>
          <w:rFonts w:ascii="Times New Roman" w:hAnsi="Times New Roman" w:cs="Times New Roman"/>
          <w:sz w:val="24"/>
          <w:szCs w:val="24"/>
          <w:lang w:val="ru-RU"/>
        </w:rPr>
        <w:t xml:space="preserve">icy and Simulation department)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теперь является экспертным центром, отвечающим за реализацию и проведение программ тестирования. Для усиления экспертизы в области антикризисного управления и имитационного моделирования некоторые специалисты присоединились к программе антикризисного управления Торонтского центра, которая ориентирована </w:t>
      </w:r>
      <w:r w:rsidR="00FC68AC" w:rsidRPr="006B46C7">
        <w:rPr>
          <w:rFonts w:ascii="Times New Roman" w:hAnsi="Times New Roman" w:cs="Times New Roman"/>
          <w:sz w:val="24"/>
          <w:szCs w:val="24"/>
          <w:lang w:val="ru-RU"/>
        </w:rPr>
        <w:t>на регуляторы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финансовых организаций. В настоящее время департамент совместно с внешним консультантом разрабатывает систему управления симуляциями. </w:t>
      </w:r>
      <w:r w:rsidRPr="006B46C7">
        <w:rPr>
          <w:rFonts w:ascii="Times New Roman" w:hAnsi="Times New Roman" w:cs="Times New Roman"/>
          <w:sz w:val="24"/>
          <w:szCs w:val="24"/>
        </w:rPr>
        <w:t>Проект, официально запущенный весной 2024 года, состоит из четырех частей:</w:t>
      </w:r>
    </w:p>
    <w:p w14:paraId="6C253EDF" w14:textId="28E32A2D" w:rsidR="001B0301" w:rsidRPr="006B46C7" w:rsidRDefault="004D2C53">
      <w:pPr>
        <w:pStyle w:val="11"/>
        <w:numPr>
          <w:ilvl w:val="0"/>
          <w:numId w:val="11"/>
        </w:numPr>
        <w:tabs>
          <w:tab w:val="left" w:pos="432"/>
        </w:tabs>
        <w:spacing w:after="0" w:line="252" w:lineRule="auto"/>
        <w:ind w:left="440" w:hanging="4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8" w:name="bookmark217"/>
      <w:bookmarkEnd w:id="188"/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Совершенствование структуры </w:t>
      </w:r>
      <w:r w:rsidR="00FC68AC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руководства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антикризисным управлением в рамках </w:t>
      </w:r>
      <w:r w:rsidR="009F76AC">
        <w:rPr>
          <w:rFonts w:ascii="Times New Roman" w:hAnsi="Times New Roman" w:cs="Times New Roman"/>
          <w:sz w:val="24"/>
          <w:szCs w:val="24"/>
          <w:lang w:val="ru-RU"/>
        </w:rPr>
        <w:t>Суперинтендеции</w:t>
      </w:r>
      <w:r w:rsidR="00FC68AC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(осень 2024 года)</w:t>
      </w:r>
    </w:p>
    <w:p w14:paraId="6BE9DE54" w14:textId="3F384387" w:rsidR="001B0301" w:rsidRPr="006B46C7" w:rsidRDefault="004D2C53">
      <w:pPr>
        <w:pStyle w:val="11"/>
        <w:numPr>
          <w:ilvl w:val="0"/>
          <w:numId w:val="11"/>
        </w:numPr>
        <w:tabs>
          <w:tab w:val="left" w:pos="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9" w:name="bookmark218"/>
      <w:bookmarkEnd w:id="189"/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</w:t>
      </w:r>
      <w:r w:rsidR="00FC68AC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операционной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структуры (весна 2025 года)</w:t>
      </w:r>
    </w:p>
    <w:p w14:paraId="06033D52" w14:textId="77777777" w:rsidR="001B0301" w:rsidRPr="006B46C7" w:rsidRDefault="004D2C53">
      <w:pPr>
        <w:pStyle w:val="11"/>
        <w:numPr>
          <w:ilvl w:val="0"/>
          <w:numId w:val="11"/>
        </w:numPr>
        <w:tabs>
          <w:tab w:val="left" w:pos="432"/>
        </w:tabs>
        <w:spacing w:after="0" w:line="252" w:lineRule="auto"/>
        <w:ind w:left="440" w:hanging="4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0" w:name="bookmark219"/>
      <w:bookmarkEnd w:id="190"/>
      <w:r w:rsidRPr="006B46C7">
        <w:rPr>
          <w:rFonts w:ascii="Times New Roman" w:hAnsi="Times New Roman" w:cs="Times New Roman"/>
          <w:sz w:val="24"/>
          <w:szCs w:val="24"/>
          <w:lang w:val="ru-RU"/>
        </w:rPr>
        <w:t>Разработка плана учений по моделированию кризисных ситуаций, которые будут проводиться в течение следующих двух финансовых лет (осень 2025 года)</w:t>
      </w:r>
    </w:p>
    <w:p w14:paraId="45542F8E" w14:textId="77777777" w:rsidR="001B0301" w:rsidRPr="006B46C7" w:rsidRDefault="004D2C53">
      <w:pPr>
        <w:pStyle w:val="11"/>
        <w:numPr>
          <w:ilvl w:val="0"/>
          <w:numId w:val="11"/>
        </w:numPr>
        <w:tabs>
          <w:tab w:val="left" w:pos="432"/>
        </w:tabs>
        <w:spacing w:after="100" w:line="252" w:lineRule="auto"/>
        <w:ind w:left="440" w:hanging="4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1" w:name="bookmark220"/>
      <w:bookmarkEnd w:id="191"/>
      <w:r w:rsidRPr="006B46C7">
        <w:rPr>
          <w:rFonts w:ascii="Times New Roman" w:hAnsi="Times New Roman" w:cs="Times New Roman"/>
          <w:sz w:val="24"/>
          <w:szCs w:val="24"/>
          <w:lang w:val="ru-RU"/>
        </w:rPr>
        <w:t>Проведение имитационных учений для проверки структуры управления и оперативных рамок (осень 2025 года).</w:t>
      </w:r>
    </w:p>
    <w:p w14:paraId="49B14057" w14:textId="4E90B02E" w:rsidR="001B0301" w:rsidRPr="006B46C7" w:rsidRDefault="004D2C53">
      <w:pPr>
        <w:pStyle w:val="11"/>
        <w:spacing w:after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2" w:name="bookmark221"/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Начиная с 2021 года, </w:t>
      </w:r>
      <w:r w:rsidR="009F76AC">
        <w:rPr>
          <w:rFonts w:ascii="Times New Roman" w:hAnsi="Times New Roman" w:cs="Times New Roman"/>
          <w:sz w:val="24"/>
          <w:szCs w:val="24"/>
          <w:lang w:val="ru-RU"/>
        </w:rPr>
        <w:t>AMF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проводит ежегодные проверки всех уполномоченных депозитных учреждений на соответствие требованиям. Введенные в 2016/17 году, </w:t>
      </w:r>
      <w:r w:rsidR="00DD0FEF" w:rsidRPr="006B46C7">
        <w:rPr>
          <w:rFonts w:ascii="Times New Roman" w:hAnsi="Times New Roman" w:cs="Times New Roman"/>
          <w:sz w:val="24"/>
          <w:szCs w:val="24"/>
          <w:lang w:val="ru-RU"/>
        </w:rPr>
        <w:t>данные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проверки оказались весьма эффективными с точки зрения повышения качества данных, поскольку учреждения обязаны устранить недостатки, а также в качестве постоянного тренинга для сотрудников </w:t>
      </w:r>
      <w:r w:rsidR="009F76AC">
        <w:rPr>
          <w:rFonts w:ascii="Times New Roman" w:hAnsi="Times New Roman" w:cs="Times New Roman"/>
          <w:sz w:val="24"/>
          <w:szCs w:val="24"/>
          <w:lang w:val="ru-RU"/>
        </w:rPr>
        <w:t>AMF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В 2021/22 году были проведены две тренировки по процессу выплаты страхового возмещения. Учения по обналичиванию чеков позволили </w:t>
      </w:r>
      <w:r w:rsidR="009F76AC">
        <w:rPr>
          <w:rFonts w:ascii="Times New Roman" w:hAnsi="Times New Roman" w:cs="Times New Roman"/>
          <w:sz w:val="24"/>
          <w:szCs w:val="24"/>
          <w:lang w:val="ru-RU"/>
        </w:rPr>
        <w:t>AMF</w:t>
      </w:r>
      <w:r w:rsidR="009F76AC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проверить механизмы финансирования счета для выплаты страхового возмещения и убедиться в том, что чеки правильно отслеживаются поставщиком банковских услуг. Другое </w:t>
      </w:r>
      <w:r w:rsidR="009F76AC">
        <w:rPr>
          <w:rFonts w:ascii="Times New Roman" w:hAnsi="Times New Roman" w:cs="Times New Roman"/>
          <w:sz w:val="24"/>
          <w:szCs w:val="24"/>
          <w:lang w:val="ru-RU"/>
        </w:rPr>
        <w:t>моделирование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касалось ретрансляции ИТ-систем на внешние серверы и было призвано продемонстрировать, что в периоды перебоев в работе ИТ-инфраструктуры </w:t>
      </w:r>
      <w:r w:rsidR="009F76AC">
        <w:rPr>
          <w:rFonts w:ascii="Times New Roman" w:hAnsi="Times New Roman" w:cs="Times New Roman"/>
          <w:sz w:val="24"/>
          <w:szCs w:val="24"/>
          <w:lang w:val="ru-RU"/>
        </w:rPr>
        <w:t>AMF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ретрансляция систем на внешние серверы соответствует ожиданиям, позволяя запустить процессы, необходимые для выплат.</w:t>
      </w:r>
      <w:r w:rsidR="009F76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243" w:rsidRPr="006B46C7">
        <w:rPr>
          <w:rFonts w:ascii="Times New Roman" w:hAnsi="Times New Roman" w:cs="Times New Roman"/>
          <w:sz w:val="24"/>
          <w:szCs w:val="24"/>
          <w:lang w:val="ru-RU"/>
        </w:rPr>
        <w:t>В итоге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для повышения эффективности операций по урегулированию несостоятельности </w:t>
      </w:r>
      <w:r w:rsidR="009F76AC">
        <w:rPr>
          <w:rFonts w:ascii="Times New Roman" w:hAnsi="Times New Roman" w:cs="Times New Roman"/>
          <w:sz w:val="24"/>
          <w:szCs w:val="24"/>
          <w:lang w:val="ru-RU"/>
        </w:rPr>
        <w:t>AMF</w:t>
      </w:r>
      <w:r w:rsidR="009F76AC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также провел в 2023/24 году семинар по тестированию своей системы оценки стоимости бизнеса </w:t>
      </w:r>
      <w:r w:rsidR="009F76A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двухлетнего проекта, завершенного в ноябре 2023 года. В ближайшие годы </w:t>
      </w:r>
      <w:r w:rsidR="009F76AC">
        <w:rPr>
          <w:rFonts w:ascii="Times New Roman" w:hAnsi="Times New Roman" w:cs="Times New Roman"/>
          <w:sz w:val="24"/>
          <w:szCs w:val="24"/>
          <w:lang w:val="ru-RU"/>
        </w:rPr>
        <w:t>AMF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планирует протестировать различные компоненты плана по урегулированию несостоятельности, а два новых комитета </w:t>
      </w:r>
      <w:r w:rsidR="009F76A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Комитет по рис</w:t>
      </w:r>
      <w:r w:rsidR="009F76AC">
        <w:rPr>
          <w:rFonts w:ascii="Times New Roman" w:hAnsi="Times New Roman" w:cs="Times New Roman"/>
          <w:sz w:val="24"/>
          <w:szCs w:val="24"/>
          <w:lang w:val="ru-RU"/>
        </w:rPr>
        <w:t>кам и Комитет по вмешательству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станут предметом тестирования в ближайшем будущем.</w:t>
      </w:r>
      <w:bookmarkEnd w:id="192"/>
    </w:p>
    <w:p w14:paraId="2FFE16B5" w14:textId="60BD18D3" w:rsidR="001B0301" w:rsidRDefault="00F360A8" w:rsidP="00F360A8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  <w:bookmarkStart w:id="193" w:name="bookmark224"/>
      <w:bookmarkStart w:id="194" w:name="_Toc206774069"/>
      <w:bookmarkEnd w:id="193"/>
      <w:r w:rsidRPr="00F360A8">
        <w:rPr>
          <w:rFonts w:ascii="Times New Roman" w:hAnsi="Times New Roman" w:cs="Times New Roman"/>
          <w:sz w:val="28"/>
          <w:szCs w:val="28"/>
          <w:lang w:val="ru-RU"/>
        </w:rPr>
        <w:t xml:space="preserve">4.3.2. </w:t>
      </w:r>
      <w:r w:rsidR="00805A6E" w:rsidRPr="00F360A8">
        <w:rPr>
          <w:rFonts w:ascii="Times New Roman" w:hAnsi="Times New Roman" w:cs="Times New Roman"/>
          <w:sz w:val="28"/>
          <w:szCs w:val="28"/>
        </w:rPr>
        <w:t>FDIC</w:t>
      </w:r>
      <w:r w:rsidR="009F76AC" w:rsidRPr="00F360A8">
        <w:rPr>
          <w:rFonts w:ascii="Times New Roman" w:hAnsi="Times New Roman" w:cs="Times New Roman"/>
          <w:sz w:val="28"/>
          <w:szCs w:val="28"/>
          <w:lang w:val="ru-RU"/>
        </w:rPr>
        <w:t xml:space="preserve"> (США)</w:t>
      </w:r>
      <w:bookmarkEnd w:id="194"/>
    </w:p>
    <w:p w14:paraId="17B07965" w14:textId="77777777" w:rsidR="00F360A8" w:rsidRPr="00F360A8" w:rsidRDefault="00F360A8" w:rsidP="00F360A8">
      <w:pPr>
        <w:rPr>
          <w:lang w:val="ru-RU"/>
        </w:rPr>
      </w:pPr>
    </w:p>
    <w:p w14:paraId="41B9F412" w14:textId="682DC612" w:rsidR="001B0301" w:rsidRPr="006B46C7" w:rsidRDefault="004D2C53">
      <w:pPr>
        <w:pStyle w:val="11"/>
        <w:spacing w:after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2021 году Отдел </w:t>
      </w:r>
      <w:r w:rsidR="002E7C67" w:rsidRPr="002E7C67">
        <w:rPr>
          <w:rFonts w:ascii="Times New Roman" w:hAnsi="Times New Roman" w:cs="Times New Roman"/>
          <w:sz w:val="24"/>
          <w:szCs w:val="24"/>
          <w:lang w:val="ru-RU"/>
        </w:rPr>
        <w:t xml:space="preserve">урегулирования несостоятельности и конкурсного производства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DRR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FDIC</w:t>
      </w:r>
      <w:r w:rsidR="009F76A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создал программу обучения по закрытию банков (</w:t>
      </w:r>
      <w:r w:rsidRPr="006B46C7">
        <w:rPr>
          <w:rFonts w:ascii="Times New Roman" w:hAnsi="Times New Roman" w:cs="Times New Roman"/>
          <w:sz w:val="24"/>
          <w:szCs w:val="24"/>
        </w:rPr>
        <w:t>BCTP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), которая проводится два раза в год. В рамках этой программы проводится обучение по нескольким направлениям работы по закрытию банков. Отдел надзора за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организациями со сложной структурой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урегулирования</w:t>
      </w:r>
      <w:r w:rsidR="002E7C67">
        <w:rPr>
          <w:rFonts w:ascii="Times New Roman" w:hAnsi="Times New Roman" w:cs="Times New Roman"/>
          <w:sz w:val="24"/>
          <w:szCs w:val="24"/>
          <w:lang w:val="ru-RU"/>
        </w:rPr>
        <w:t xml:space="preserve"> несостоятельности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CISR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FDIC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продолжает создавать и поддерживать программы по обеспечению готовности к кризисным ситуациям, готовности и возможностей для осуществления полномочий агентства в соответствии с Федеральным законом о страховании вкладов (</w:t>
      </w:r>
      <w:r w:rsidRPr="006B46C7">
        <w:rPr>
          <w:rFonts w:ascii="Times New Roman" w:hAnsi="Times New Roman" w:cs="Times New Roman"/>
          <w:sz w:val="24"/>
          <w:szCs w:val="24"/>
        </w:rPr>
        <w:t>FDIA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) в отношении крупных и сложных финансовых организаций (</w:t>
      </w:r>
      <w:r w:rsidRPr="006B46C7">
        <w:rPr>
          <w:rFonts w:ascii="Times New Roman" w:hAnsi="Times New Roman" w:cs="Times New Roman"/>
          <w:sz w:val="24"/>
          <w:szCs w:val="24"/>
        </w:rPr>
        <w:t>LCFI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). Программа включает в себя обсуждения, </w:t>
      </w:r>
      <w:r w:rsidR="002E7C67">
        <w:rPr>
          <w:rFonts w:ascii="Times New Roman" w:hAnsi="Times New Roman" w:cs="Times New Roman"/>
          <w:sz w:val="24"/>
          <w:szCs w:val="24"/>
          <w:lang w:val="ru-RU"/>
        </w:rPr>
        <w:t>теоретические учения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, симуляции и другие упражнения по планированию с участием заинтересованных сторон внутри и между отделами.</w:t>
      </w:r>
    </w:p>
    <w:p w14:paraId="15D539F9" w14:textId="4C8D125E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Отдел надзора за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организациями со сложной структурой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урегулирования несостоятельности (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CISR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FDIC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продолжает создавать и поддерживать программу тестирования и моделирования, рассчитанную на крупные и сложные финансовые организации, включая текущие учения по конкретным учреждениям и мероприятия по трансграничному сотрудничеству. В качестве примера можно привести постоянную </w:t>
      </w:r>
      <w:hyperlink w:anchor="bookmark49" w:tooltip="Current Document">
        <w:r w:rsidRPr="006B46C7">
          <w:rPr>
            <w:rFonts w:ascii="Times New Roman" w:hAnsi="Times New Roman" w:cs="Times New Roman"/>
            <w:sz w:val="24"/>
            <w:szCs w:val="24"/>
            <w:lang w:val="ru-RU"/>
          </w:rPr>
          <w:t>программу</w:t>
        </w:r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51"/>
        </w:r>
      </w:hyperlink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трехсторонних учений на высшем уровне с участием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FDIC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дополнительных органов власти США, а также партнеров из Великобритании и Европейского союза. Дополнительная постоянная деятельность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CISR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по обеспечению готовности к кризисным ситуациям и проведению учений включает в себя взаимодействие внутри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FDIC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а также с </w:t>
      </w:r>
      <w:r w:rsidR="009C0950">
        <w:rPr>
          <w:rFonts w:ascii="Times New Roman" w:hAnsi="Times New Roman" w:cs="Times New Roman"/>
          <w:sz w:val="24"/>
          <w:szCs w:val="24"/>
          <w:lang w:val="ru-RU"/>
        </w:rPr>
        <w:t>национальными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зарубежными партнерами, например, регулярные программы с </w:t>
      </w:r>
      <w:r w:rsidR="009C0950">
        <w:rPr>
          <w:rFonts w:ascii="Times New Roman" w:hAnsi="Times New Roman" w:cs="Times New Roman"/>
          <w:sz w:val="24"/>
          <w:szCs w:val="24"/>
          <w:lang w:val="ru-RU"/>
        </w:rPr>
        <w:t>национальными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партнерами по поддержанию готовности в рамках полномочий по упорядоченной ликвидации в соответствии с разделом </w:t>
      </w:r>
      <w:r w:rsidRPr="006B46C7">
        <w:rPr>
          <w:rFonts w:ascii="Times New Roman" w:hAnsi="Times New Roman" w:cs="Times New Roman"/>
          <w:sz w:val="24"/>
          <w:szCs w:val="24"/>
        </w:rPr>
        <w:t>II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а также планирование и обеспечение готовности в рамках групп по управлению кризисными ситуациями. Ежеквартально Комитет по финансовым рискам, межведомственная группа, состоящая из представителей федеральных банковских агентств США, проводит встречи для обмена информацией о банках, подверженных риску банкротства. </w:t>
      </w:r>
      <w:r w:rsidRPr="006B46C7">
        <w:rPr>
          <w:rFonts w:ascii="Times New Roman" w:hAnsi="Times New Roman" w:cs="Times New Roman"/>
          <w:sz w:val="24"/>
          <w:szCs w:val="24"/>
        </w:rPr>
        <w:t>Critical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</w:rPr>
        <w:t>Infrastructure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</w:rPr>
        <w:t>Security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&amp; </w:t>
      </w:r>
      <w:r w:rsidRPr="006B46C7">
        <w:rPr>
          <w:rFonts w:ascii="Times New Roman" w:hAnsi="Times New Roman" w:cs="Times New Roman"/>
          <w:sz w:val="24"/>
          <w:szCs w:val="24"/>
        </w:rPr>
        <w:t>Resiliency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поддерживает эти программы в ходе обычной деятельности. Между проведением программы учений и последними банкротствами банков в начале 2023 года не было никакого промежутка времени.</w:t>
      </w:r>
    </w:p>
    <w:p w14:paraId="301DBA5C" w14:textId="1934033D" w:rsidR="001B0301" w:rsidRPr="006B46C7" w:rsidRDefault="004D2C53" w:rsidP="00FE5CB0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настоящее время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FDIC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находится в процессе разработки официальной </w:t>
      </w:r>
      <w:r w:rsidR="00801394">
        <w:rPr>
          <w:rFonts w:ascii="Times New Roman" w:hAnsi="Times New Roman" w:cs="Times New Roman"/>
          <w:sz w:val="24"/>
          <w:szCs w:val="24"/>
          <w:lang w:val="ru-RU"/>
        </w:rPr>
        <w:t>корпоративной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программы испытаний, </w:t>
      </w:r>
      <w:r w:rsidR="00FE5CB0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практики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и учений на готовность (</w:t>
      </w:r>
      <w:r w:rsidR="00801394">
        <w:rPr>
          <w:rFonts w:ascii="Times New Roman" w:hAnsi="Times New Roman" w:cs="Times New Roman"/>
          <w:sz w:val="24"/>
          <w:szCs w:val="24"/>
          <w:lang w:val="ru-RU"/>
        </w:rPr>
        <w:t>TT&amp;E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), которая будет размещена в административном отделе агентства. </w:t>
      </w:r>
      <w:r w:rsidR="00801394">
        <w:rPr>
          <w:rFonts w:ascii="Times New Roman" w:hAnsi="Times New Roman" w:cs="Times New Roman"/>
          <w:sz w:val="24"/>
          <w:szCs w:val="24"/>
          <w:lang w:val="ru-RU"/>
        </w:rPr>
        <w:t>Корпорация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уже начал</w:t>
      </w:r>
      <w:r w:rsidR="0080139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первые усилия по разработке программы </w:t>
      </w:r>
      <w:r w:rsidR="00801394" w:rsidRPr="00801394">
        <w:rPr>
          <w:rFonts w:ascii="Times New Roman" w:hAnsi="Times New Roman" w:cs="Times New Roman"/>
          <w:sz w:val="24"/>
          <w:szCs w:val="24"/>
          <w:lang w:val="ru-RU"/>
        </w:rPr>
        <w:t xml:space="preserve">TT&amp;E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до банкротства банков в 2023 году; однако банкротство банков </w:t>
      </w:r>
      <w:r w:rsidR="00801394">
        <w:rPr>
          <w:rFonts w:ascii="Times New Roman" w:hAnsi="Times New Roman" w:cs="Times New Roman"/>
          <w:sz w:val="24"/>
          <w:szCs w:val="24"/>
          <w:lang w:val="ru-RU"/>
        </w:rPr>
        <w:t>внесло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дополнительный акцент и поддержало необходимость такой программы. Хотя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FDIC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исторически очень активно проводила учения по обеспечению готовности, комплексная программа, призванная координировать, интегрировать и синхронизировать программы учений и испытаний всех отделов агентства, не была разработана. Новый подход призван укрепить способность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FDIC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координировать планирование учений, обеспечить участие организационных элементов из всех подразделений </w:t>
      </w:r>
      <w:r w:rsidR="00801394">
        <w:rPr>
          <w:rFonts w:ascii="Times New Roman" w:hAnsi="Times New Roman" w:cs="Times New Roman"/>
          <w:sz w:val="24"/>
          <w:szCs w:val="24"/>
          <w:lang w:val="ru-RU"/>
        </w:rPr>
        <w:t>корпорации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а также фиксацию, распространение и интеграцию извлеченных уроков в рамках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FDIC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Программа также предоставит централизованный календарь </w:t>
      </w:r>
      <w:r w:rsidR="00801394">
        <w:rPr>
          <w:rFonts w:ascii="Times New Roman" w:hAnsi="Times New Roman" w:cs="Times New Roman"/>
          <w:sz w:val="24"/>
          <w:szCs w:val="24"/>
          <w:lang w:val="ru-RU"/>
        </w:rPr>
        <w:t>тестирований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учений, хранилище документов и руководство по разработке и проведению различных форматов </w:t>
      </w:r>
      <w:r w:rsidR="00801394">
        <w:rPr>
          <w:rFonts w:ascii="Times New Roman" w:hAnsi="Times New Roman" w:cs="Times New Roman"/>
          <w:sz w:val="24"/>
          <w:szCs w:val="24"/>
          <w:lang w:val="ru-RU"/>
        </w:rPr>
        <w:t>проверок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F831809" w14:textId="343D4937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Вопросы готовности к кризисным ситуациям и управления ими также решаются в рамках постоянного мониторинга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FDIC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достаточности средств Фонда страхования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801394">
        <w:rPr>
          <w:rFonts w:ascii="Times New Roman" w:hAnsi="Times New Roman" w:cs="Times New Roman"/>
          <w:sz w:val="24"/>
          <w:szCs w:val="24"/>
          <w:lang w:val="ru-RU"/>
        </w:rPr>
        <w:t>DIF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). Процессы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FDIC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по обеспечению достаточности </w:t>
      </w:r>
      <w:r w:rsidRPr="006B46C7">
        <w:rPr>
          <w:rFonts w:ascii="Times New Roman" w:hAnsi="Times New Roman" w:cs="Times New Roman"/>
          <w:sz w:val="24"/>
          <w:szCs w:val="24"/>
        </w:rPr>
        <w:t>DIF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включают регулярное обновление прогнозов доходов и расходов фонда, обновление резерва условных убытков каждый квартал для отражения стоимости урегулирования банкротств банков, ожидаемых в течение 12 месяцев, и ежегодное установление или подтверждение </w:t>
      </w:r>
      <w:r w:rsidR="005C0BD9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установленного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коэффициента резервирования (</w:t>
      </w:r>
      <w:r w:rsidR="00801394" w:rsidRPr="00801394">
        <w:rPr>
          <w:rFonts w:ascii="Times New Roman" w:hAnsi="Times New Roman" w:cs="Times New Roman"/>
          <w:sz w:val="24"/>
          <w:szCs w:val="24"/>
          <w:lang w:val="ru-RU"/>
        </w:rPr>
        <w:t>DRR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 (процент от предполагаемых застрахованных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 в рамках долгосрочного плана управления </w:t>
      </w:r>
      <w:r w:rsidR="00801394">
        <w:rPr>
          <w:rFonts w:ascii="Times New Roman" w:hAnsi="Times New Roman" w:cs="Times New Roman"/>
          <w:sz w:val="24"/>
          <w:szCs w:val="24"/>
          <w:lang w:val="ru-RU"/>
        </w:rPr>
        <w:t>DIF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01394" w:rsidRPr="00801394">
        <w:rPr>
          <w:rFonts w:ascii="Times New Roman" w:hAnsi="Times New Roman" w:cs="Times New Roman"/>
          <w:sz w:val="24"/>
          <w:szCs w:val="24"/>
          <w:lang w:val="ru-RU"/>
        </w:rPr>
        <w:t>DRR</w:t>
      </w:r>
      <w:r w:rsidR="00801394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устанавливается в качестве минимальной цели, которая позволит фонду расти достаточно большими темпами в хорошие времена, чтобы увеличить вероятность того, что </w:t>
      </w:r>
      <w:r w:rsidRPr="006B46C7">
        <w:rPr>
          <w:rFonts w:ascii="Times New Roman" w:hAnsi="Times New Roman" w:cs="Times New Roman"/>
          <w:sz w:val="24"/>
          <w:szCs w:val="24"/>
        </w:rPr>
        <w:t>DIF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останется положительным в плохие времена, включая кризисные периоды, в соответствии с всеобъемлющим долгосрочным планом управления фондом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FDIC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33E0F72" w14:textId="0FBA2E2A" w:rsidR="001B0301" w:rsidRDefault="00F360A8" w:rsidP="00F360A8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95" w:name="bookmark229"/>
      <w:bookmarkStart w:id="196" w:name="_Toc206774070"/>
      <w:bookmarkEnd w:id="195"/>
      <w:r w:rsidRPr="00F360A8">
        <w:rPr>
          <w:rFonts w:ascii="Times New Roman" w:hAnsi="Times New Roman" w:cs="Times New Roman"/>
          <w:sz w:val="28"/>
          <w:szCs w:val="28"/>
          <w:lang w:val="ru-RU"/>
        </w:rPr>
        <w:t xml:space="preserve">4.3.3. </w:t>
      </w:r>
      <w:r w:rsidR="00805A6E" w:rsidRPr="00F360A8">
        <w:rPr>
          <w:rFonts w:ascii="Times New Roman" w:hAnsi="Times New Roman" w:cs="Times New Roman"/>
          <w:sz w:val="28"/>
          <w:szCs w:val="28"/>
        </w:rPr>
        <w:t>IPAB</w:t>
      </w:r>
      <w:bookmarkEnd w:id="196"/>
    </w:p>
    <w:p w14:paraId="52B67D96" w14:textId="77777777" w:rsidR="00F360A8" w:rsidRPr="00F360A8" w:rsidRDefault="00F360A8" w:rsidP="00F360A8"/>
    <w:p w14:paraId="0D80F70D" w14:textId="3081701F" w:rsidR="00904180" w:rsidRPr="00801394" w:rsidRDefault="00904180" w:rsidP="00801394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1394">
        <w:rPr>
          <w:rFonts w:ascii="Times New Roman" w:hAnsi="Times New Roman" w:cs="Times New Roman"/>
          <w:sz w:val="24"/>
          <w:szCs w:val="24"/>
          <w:lang w:val="ru-RU"/>
        </w:rPr>
        <w:t xml:space="preserve">С 2014 года Институт защиты банковских </w:t>
      </w:r>
      <w:r w:rsidR="00B64EAA" w:rsidRPr="00801394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801394">
        <w:rPr>
          <w:rFonts w:ascii="Times New Roman" w:hAnsi="Times New Roman" w:cs="Times New Roman"/>
          <w:sz w:val="24"/>
          <w:szCs w:val="24"/>
          <w:lang w:val="ru-RU"/>
        </w:rPr>
        <w:t xml:space="preserve"> проводит периодические симуляционные учения в рамках централизованного подхода под координацией независимого подразделения — </w:t>
      </w:r>
      <w:r w:rsidR="00B64EAA" w:rsidRPr="00801394">
        <w:rPr>
          <w:rFonts w:ascii="Times New Roman" w:hAnsi="Times New Roman" w:cs="Times New Roman"/>
          <w:sz w:val="24"/>
          <w:szCs w:val="24"/>
          <w:lang w:val="ru-RU"/>
        </w:rPr>
        <w:t>Группа</w:t>
      </w:r>
      <w:r w:rsidRPr="00801394">
        <w:rPr>
          <w:rFonts w:ascii="Times New Roman" w:hAnsi="Times New Roman" w:cs="Times New Roman"/>
          <w:sz w:val="24"/>
          <w:szCs w:val="24"/>
          <w:lang w:val="ru-RU"/>
        </w:rPr>
        <w:t xml:space="preserve"> стратегического планирования и процессов (</w:t>
      </w:r>
      <w:r w:rsidR="00801394" w:rsidRPr="00801394">
        <w:rPr>
          <w:rFonts w:ascii="Times New Roman" w:hAnsi="Times New Roman" w:cs="Times New Roman"/>
          <w:sz w:val="24"/>
          <w:szCs w:val="24"/>
          <w:lang w:val="ru-RU"/>
        </w:rPr>
        <w:t>SPPU</w:t>
      </w:r>
      <w:r w:rsidRPr="00801394">
        <w:rPr>
          <w:rFonts w:ascii="Times New Roman" w:hAnsi="Times New Roman" w:cs="Times New Roman"/>
          <w:sz w:val="24"/>
          <w:szCs w:val="24"/>
          <w:lang w:val="ru-RU"/>
        </w:rPr>
        <w:t xml:space="preserve">). Помимо организации учений, данное управление выполняет ключевые функции по реализации и мониторингу стратегии Института, анализу и оптимизации бизнес-процессов, а также координации стратегии информационной безопасности. Эти направления деятельности создают значительную синергию при разработке, проведении и оценке симуляционных сценариев по санации банков. Будучи организационно обособленным от основных операционных направлений, </w:t>
      </w:r>
      <w:r w:rsidR="00E72712" w:rsidRPr="00801394">
        <w:rPr>
          <w:rFonts w:ascii="Times New Roman" w:hAnsi="Times New Roman" w:cs="Times New Roman"/>
          <w:sz w:val="24"/>
          <w:szCs w:val="24"/>
          <w:lang w:val="ru-RU"/>
        </w:rPr>
        <w:t>RCNA</w:t>
      </w:r>
      <w:r w:rsidRPr="00801394">
        <w:rPr>
          <w:rFonts w:ascii="Times New Roman" w:hAnsi="Times New Roman" w:cs="Times New Roman"/>
          <w:sz w:val="24"/>
          <w:szCs w:val="24"/>
          <w:lang w:val="ru-RU"/>
        </w:rPr>
        <w:t xml:space="preserve"> обеспечивает принципиально важную независимую оценку действий участников в ходе учений и формулирует объективные рекомендации, свободные от ведомственных предубеждений. </w:t>
      </w:r>
    </w:p>
    <w:p w14:paraId="59506ED4" w14:textId="4E425F43" w:rsidR="001B0301" w:rsidRPr="006B46C7" w:rsidRDefault="004D2C53" w:rsidP="00904180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С 2021 года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IPAB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не вносил существенных изменений в свою программу тестирования. После завершения программы моделирования, направленной на оценку институциональных мер реагирования на все возможные методы урегулирования в соответствии с мексиканским законом и для различных типов банков,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IPAB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занялся решением конкретных проблем и ситуаций, включая тестирование планов по урегулированию несостоятельности и планирование учений по вероятному урегулированию банковских проблем.</w:t>
      </w:r>
    </w:p>
    <w:p w14:paraId="7DB8A57C" w14:textId="57BE2DDB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2021 году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IPAB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успешно справился с банкротством банка, что </w:t>
      </w:r>
      <w:r w:rsidR="00EF7C46" w:rsidRPr="006B46C7">
        <w:rPr>
          <w:rFonts w:ascii="Times New Roman" w:hAnsi="Times New Roman" w:cs="Times New Roman"/>
          <w:sz w:val="24"/>
          <w:szCs w:val="24"/>
          <w:lang w:val="ru-RU"/>
        </w:rPr>
        <w:t>стало ценным опытом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для будущих мероприятий по урегулированию несостоятельности. </w:t>
      </w:r>
      <w:r w:rsidR="00801394" w:rsidRPr="00801394">
        <w:rPr>
          <w:rFonts w:ascii="Times New Roman" w:hAnsi="Times New Roman" w:cs="Times New Roman"/>
          <w:sz w:val="24"/>
          <w:szCs w:val="24"/>
          <w:lang w:val="ru-RU"/>
        </w:rPr>
        <w:t>SPPU</w:t>
      </w:r>
      <w:r w:rsidR="00801394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задокументировал эти </w:t>
      </w:r>
      <w:r w:rsidR="00801394">
        <w:rPr>
          <w:rFonts w:ascii="Times New Roman" w:hAnsi="Times New Roman" w:cs="Times New Roman"/>
          <w:sz w:val="24"/>
          <w:szCs w:val="24"/>
          <w:lang w:val="ru-RU"/>
        </w:rPr>
        <w:t>выводы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801394">
        <w:rPr>
          <w:rFonts w:ascii="Times New Roman" w:hAnsi="Times New Roman" w:cs="Times New Roman"/>
          <w:sz w:val="24"/>
          <w:szCs w:val="24"/>
          <w:lang w:val="ru-RU"/>
        </w:rPr>
        <w:t>ходе последующей оценки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определил возможные </w:t>
      </w:r>
      <w:r w:rsidR="00801394">
        <w:rPr>
          <w:rFonts w:ascii="Times New Roman" w:hAnsi="Times New Roman" w:cs="Times New Roman"/>
          <w:sz w:val="24"/>
          <w:szCs w:val="24"/>
          <w:lang w:val="ru-RU"/>
        </w:rPr>
        <w:t xml:space="preserve">действия для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улучшения</w:t>
      </w:r>
      <w:r w:rsidR="00801394">
        <w:rPr>
          <w:rFonts w:ascii="Times New Roman" w:hAnsi="Times New Roman" w:cs="Times New Roman"/>
          <w:sz w:val="24"/>
          <w:szCs w:val="24"/>
          <w:lang w:val="ru-RU"/>
        </w:rPr>
        <w:t xml:space="preserve"> ситуации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В 2022 году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IPAB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провел имитационное моделирование среднего банка, столкнувшегося с проблемой ликвидности. Цель заключалась в проверке действий, которые административные подразделения должны выполнить для своевременного урегулирования </w:t>
      </w:r>
      <w:r w:rsidR="00801394">
        <w:rPr>
          <w:rFonts w:ascii="Times New Roman" w:hAnsi="Times New Roman" w:cs="Times New Roman"/>
          <w:sz w:val="24"/>
          <w:szCs w:val="24"/>
          <w:lang w:val="ru-RU"/>
        </w:rPr>
        <w:t>кризиса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банке.</w:t>
      </w:r>
    </w:p>
    <w:p w14:paraId="2FB18A85" w14:textId="02DF1208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последнее время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IPAB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участвовал в имитационных мероприятиях с участием других национальных и международных органов. В 2024 году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IPAB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участвовал в имитационных учениях с участием органов власти Мексики, Коста-Рики, Доминиканской Республики, Эквадора, Гватемалы, Гондураса и Перу. В 2023 году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IPAB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участвовал в </w:t>
      </w:r>
      <w:r w:rsidR="00801394">
        <w:rPr>
          <w:rFonts w:ascii="Times New Roman" w:hAnsi="Times New Roman" w:cs="Times New Roman"/>
          <w:sz w:val="24"/>
          <w:szCs w:val="24"/>
          <w:lang w:val="ru-RU"/>
        </w:rPr>
        <w:t>теоретических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учениях по </w:t>
      </w:r>
      <w:hyperlink w:anchor="bookmark50" w:tooltip="Current Document">
        <w:r w:rsidRPr="006B46C7">
          <w:rPr>
            <w:rFonts w:ascii="Times New Roman" w:hAnsi="Times New Roman" w:cs="Times New Roman"/>
            <w:sz w:val="24"/>
            <w:szCs w:val="24"/>
            <w:lang w:val="ru-RU"/>
          </w:rPr>
          <w:t>кибератакам</w:t>
        </w:r>
        <w:r w:rsidRPr="006B46C7">
          <w:rPr>
            <w:rFonts w:ascii="Times New Roman" w:hAnsi="Times New Roman" w:cs="Times New Roman"/>
            <w:sz w:val="24"/>
            <w:szCs w:val="24"/>
            <w:vertAlign w:val="superscript"/>
          </w:rPr>
          <w:footnoteReference w:id="52"/>
        </w:r>
      </w:hyperlink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координации с Центральным банком Мексики, Министерством финансов и Национальной комиссией по банкам и ценным бумагам. В ходе учений был выработан ряд политических рекомендаций, все стороны получили представление о своих текущих возможностях и указали на области, требующие улучшения. В дальнейшем мексиканские финансовые органы планируют разработать дополнительные модели, чтобы лучше подготовиться к потенциальным инцидентам кибербезопасности, которые могут стать системными, включая учения</w:t>
      </w:r>
      <w:r w:rsidR="00B64EAA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масштабах всего рынка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 участием представителей финансового сектора.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IPAB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продолжит следовать передовому международному опыту в проведении периодических симуляций для оценки возможностей своевременного принятия мер в случае урегулирования несостоятельности банка. Сотрудничество между местными и международными органами власти станет ключевым элементом дальнейших симуляций.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491BEF8D" w14:textId="102AC2A7" w:rsidR="001B0301" w:rsidRPr="00F360A8" w:rsidRDefault="00F360A8" w:rsidP="00F360A8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  <w:bookmarkStart w:id="198" w:name="bookmark234"/>
      <w:bookmarkStart w:id="199" w:name="_Toc206774071"/>
      <w:bookmarkEnd w:id="198"/>
      <w:r w:rsidRPr="00F360A8">
        <w:rPr>
          <w:rFonts w:ascii="Times New Roman" w:hAnsi="Times New Roman" w:cs="Times New Roman"/>
          <w:sz w:val="28"/>
          <w:szCs w:val="28"/>
          <w:lang w:val="ru-RU"/>
        </w:rPr>
        <w:t xml:space="preserve">4.3.4. </w:t>
      </w:r>
      <w:r w:rsidR="000B5403" w:rsidRPr="00F360A8">
        <w:rPr>
          <w:rFonts w:ascii="Times New Roman" w:hAnsi="Times New Roman" w:cs="Times New Roman"/>
          <w:sz w:val="28"/>
          <w:szCs w:val="28"/>
        </w:rPr>
        <w:t>CDIC</w:t>
      </w:r>
      <w:r w:rsidR="00B1307C" w:rsidRPr="00F360A8">
        <w:rPr>
          <w:rFonts w:ascii="Times New Roman" w:hAnsi="Times New Roman" w:cs="Times New Roman"/>
          <w:sz w:val="28"/>
          <w:szCs w:val="28"/>
          <w:lang w:val="ru-RU"/>
        </w:rPr>
        <w:t xml:space="preserve"> (Канада)</w:t>
      </w:r>
      <w:bookmarkEnd w:id="199"/>
    </w:p>
    <w:p w14:paraId="4FC1C8E4" w14:textId="0628E376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С 2019 года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применяет централизованный подход к тестированию готовности к кризисам и управлению ими. В 2023 году Центр передового опыта по моделированию кризисных ситуаций (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</w:t>
      </w:r>
      <w:r w:rsidR="00B1307C">
        <w:rPr>
          <w:rFonts w:ascii="Times New Roman" w:hAnsi="Times New Roman" w:cs="Times New Roman"/>
          <w:sz w:val="24"/>
          <w:szCs w:val="24"/>
          <w:lang w:val="ru-RU"/>
        </w:rPr>
        <w:t>o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E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), специализированное подразделение по тестированию, был объединен с отделом управления рисками предприятия (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ERM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 в группу по рискам и устойчивости предприятия. Это подразделение было создано для обеспечения большей синергии между деятельностью по тестированию и программой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ERM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 целью постоянного совершенствования готовности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к кризисным ситуациям и </w:t>
      </w:r>
      <w:r w:rsidR="00B1307C">
        <w:rPr>
          <w:rFonts w:ascii="Times New Roman" w:hAnsi="Times New Roman" w:cs="Times New Roman"/>
          <w:sz w:val="24"/>
          <w:szCs w:val="24"/>
          <w:lang w:val="ru-RU"/>
        </w:rPr>
        <w:t xml:space="preserve">расширения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оперативных возможностей. Центр продолжает использовать общеорганизационный и основанный на рисках подход к определению приоритетов тестирования.</w:t>
      </w:r>
    </w:p>
    <w:p w14:paraId="6DDC9A55" w14:textId="6D93F07B" w:rsidR="00B02E89" w:rsidRPr="006B46C7" w:rsidRDefault="004D2C53" w:rsidP="006B46C7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С июня 2021 года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</w:t>
      </w:r>
      <w:r w:rsidR="00B1307C">
        <w:rPr>
          <w:rFonts w:ascii="Times New Roman" w:hAnsi="Times New Roman" w:cs="Times New Roman"/>
          <w:sz w:val="24"/>
          <w:szCs w:val="24"/>
          <w:lang w:val="ru-RU"/>
        </w:rPr>
        <w:t>o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E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организовал и провел более 10 учений, начиная от настольных с участием совета директоров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заканчивая симуляциями с партнерами по страховой сети. В 2022 году </w:t>
      </w:r>
      <w:r w:rsidR="00B1307C">
        <w:rPr>
          <w:rFonts w:ascii="Times New Roman" w:hAnsi="Times New Roman" w:cs="Times New Roman"/>
          <w:sz w:val="24"/>
          <w:szCs w:val="24"/>
          <w:lang w:val="ru-RU"/>
        </w:rPr>
        <w:t>CoE</w:t>
      </w:r>
      <w:r w:rsidR="00B1307C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провел учения по моделированию механизма 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6B46C7">
        <w:rPr>
          <w:rFonts w:ascii="Times New Roman" w:hAnsi="Times New Roman" w:cs="Times New Roman"/>
          <w:sz w:val="24"/>
          <w:szCs w:val="24"/>
        </w:rPr>
        <w:t>bail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B46C7">
        <w:rPr>
          <w:rFonts w:ascii="Times New Roman" w:hAnsi="Times New Roman" w:cs="Times New Roman"/>
          <w:sz w:val="24"/>
          <w:szCs w:val="24"/>
        </w:rPr>
        <w:t>in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6B46C7">
        <w:rPr>
          <w:rFonts w:ascii="Times New Roman" w:hAnsi="Times New Roman" w:cs="Times New Roman"/>
          <w:sz w:val="24"/>
          <w:szCs w:val="24"/>
        </w:rPr>
        <w:t>Case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</w:rPr>
        <w:t>Study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 с участием соответствующих органов власти и отраслевых партнеров, которые значительно расширили масштабы деятельности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по обеспечению готовности к кризисам. В результате учений были определены области, требующие улучшения для обеспечения эффективного применения механизма 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6B46C7">
        <w:rPr>
          <w:rFonts w:ascii="Times New Roman" w:hAnsi="Times New Roman" w:cs="Times New Roman"/>
          <w:sz w:val="24"/>
          <w:szCs w:val="24"/>
        </w:rPr>
        <w:t>bail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B46C7">
        <w:rPr>
          <w:rFonts w:ascii="Times New Roman" w:hAnsi="Times New Roman" w:cs="Times New Roman"/>
          <w:sz w:val="24"/>
          <w:szCs w:val="24"/>
        </w:rPr>
        <w:t>in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и заложена основа для будущих учений. 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Банкротство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</w:rPr>
        <w:t>Credit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</w:rPr>
        <w:t>Suisse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марте 2023 года вновь привлек</w:t>
      </w:r>
      <w:r w:rsidR="00B1307C">
        <w:rPr>
          <w:rFonts w:ascii="Times New Roman" w:hAnsi="Times New Roman" w:cs="Times New Roman"/>
          <w:sz w:val="24"/>
          <w:szCs w:val="24"/>
          <w:lang w:val="ru-RU"/>
        </w:rPr>
        <w:t>ло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внимание к международной системе урегулирования несостоятельности и показал</w:t>
      </w:r>
      <w:r w:rsidR="00B1307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что органы по урегулированию несостоятельности должны продолжать уделять первоочередное внимание моделированию принятия эффективных решений как на внутреннем, так и на международном уровне. Продолжение тестирования и решение проблем, связанных с внедрением инструментов урегулирования несостоятельности для системно значимых банков, станет важной частью плана работы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на ближайшие годы.</w:t>
      </w:r>
    </w:p>
    <w:p w14:paraId="39078287" w14:textId="77777777" w:rsidR="003B30E2" w:rsidRPr="006B46C7" w:rsidRDefault="003B30E2">
      <w:pPr>
        <w:pStyle w:val="11"/>
        <w:spacing w:after="0"/>
        <w:jc w:val="both"/>
        <w:rPr>
          <w:rFonts w:ascii="Times New Roman" w:hAnsi="Times New Roman" w:cs="Times New Roman"/>
          <w:color w:val="1E2E8B"/>
          <w:sz w:val="24"/>
          <w:szCs w:val="24"/>
          <w:lang w:val="ru-RU"/>
        </w:rPr>
      </w:pPr>
    </w:p>
    <w:p w14:paraId="63E387B7" w14:textId="77777777" w:rsidR="003B30E2" w:rsidRPr="006B46C7" w:rsidRDefault="003B30E2">
      <w:pPr>
        <w:pStyle w:val="11"/>
        <w:spacing w:after="0"/>
        <w:jc w:val="both"/>
        <w:rPr>
          <w:rFonts w:ascii="Times New Roman" w:hAnsi="Times New Roman" w:cs="Times New Roman"/>
          <w:color w:val="1E2E8B"/>
          <w:sz w:val="24"/>
          <w:szCs w:val="24"/>
          <w:lang w:val="ru-RU"/>
        </w:rPr>
      </w:pPr>
    </w:p>
    <w:p w14:paraId="5F169CFB" w14:textId="4500D84F" w:rsidR="001B0301" w:rsidRDefault="003B30E2" w:rsidP="006B46C7">
      <w:pPr>
        <w:pStyle w:val="11"/>
        <w:spacing w:after="0"/>
        <w:jc w:val="both"/>
        <w:rPr>
          <w:rFonts w:ascii="Times New Roman" w:hAnsi="Times New Roman" w:cs="Times New Roman"/>
          <w:color w:val="1E2E8B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color w:val="1E2E8B"/>
          <w:sz w:val="24"/>
          <w:szCs w:val="24"/>
          <w:lang w:val="ru-RU"/>
        </w:rPr>
        <w:t xml:space="preserve">Пример </w:t>
      </w:r>
      <w:r w:rsidR="000B5403">
        <w:rPr>
          <w:rFonts w:ascii="Times New Roman" w:hAnsi="Times New Roman" w:cs="Times New Roman"/>
          <w:color w:val="1E2E8B"/>
          <w:sz w:val="24"/>
          <w:szCs w:val="24"/>
          <w:lang w:val="ru-RU"/>
        </w:rPr>
        <w:t>CDIC</w:t>
      </w:r>
    </w:p>
    <w:p w14:paraId="58B4B055" w14:textId="77777777" w:rsidR="00B1307C" w:rsidRPr="006B46C7" w:rsidRDefault="00B1307C" w:rsidP="006B46C7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19123ED" w14:textId="1A3AB168" w:rsidR="001B0301" w:rsidRPr="00B1307C" w:rsidRDefault="004D2C53" w:rsidP="006B46C7">
      <w:pPr>
        <w:pStyle w:val="11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Моделирование механизма </w:t>
      </w:r>
      <w:r w:rsidR="00C55520"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>“</w:t>
      </w:r>
      <w:r w:rsidRPr="006B46C7">
        <w:rPr>
          <w:rFonts w:ascii="Times New Roman" w:hAnsi="Times New Roman" w:cs="Times New Roman"/>
          <w:b/>
          <w:bCs/>
          <w:sz w:val="24"/>
          <w:szCs w:val="24"/>
        </w:rPr>
        <w:t>bail</w:t>
      </w:r>
      <w:r w:rsidRPr="006B46C7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6B46C7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B1307C" w:rsidRPr="00B1307C">
        <w:rPr>
          <w:rFonts w:ascii="Times New Roman" w:hAnsi="Times New Roman" w:cs="Times New Roman"/>
          <w:b/>
          <w:bCs/>
          <w:sz w:val="24"/>
          <w:szCs w:val="24"/>
          <w:lang w:val="ru-RU"/>
        </w:rPr>
        <w:t>”</w:t>
      </w:r>
    </w:p>
    <w:p w14:paraId="381BED4D" w14:textId="68735BB1" w:rsidR="001B0301" w:rsidRPr="006B46C7" w:rsidRDefault="004D2C53" w:rsidP="006B46C7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В октябре 2022 года Центр передового опыта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по моделированию кризисных ситуаций (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</w:t>
      </w:r>
      <w:r w:rsidR="00B1307C">
        <w:rPr>
          <w:rFonts w:ascii="Times New Roman" w:hAnsi="Times New Roman" w:cs="Times New Roman"/>
          <w:sz w:val="24"/>
          <w:szCs w:val="24"/>
          <w:lang w:val="ru-RU"/>
        </w:rPr>
        <w:t>o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E</w:t>
      </w:r>
      <w:hyperlink w:anchor="bookmark236" w:tooltip="Current Document">
        <w:r w:rsidRPr="006B46C7">
          <w:rPr>
            <w:rFonts w:ascii="Times New Roman" w:hAnsi="Times New Roman" w:cs="Times New Roman"/>
            <w:sz w:val="24"/>
            <w:szCs w:val="24"/>
            <w:lang w:val="ru-RU"/>
          </w:rPr>
          <w:t>)</w:t>
        </w:r>
        <w:r w:rsidR="00B02E89" w:rsidRPr="006B46C7">
          <w:rPr>
            <w:rStyle w:val="af2"/>
            <w:rFonts w:ascii="Times New Roman" w:hAnsi="Times New Roman" w:cs="Times New Roman"/>
            <w:sz w:val="24"/>
            <w:szCs w:val="24"/>
            <w:lang w:val="ru-RU"/>
          </w:rPr>
          <w:footnoteReference w:id="53"/>
        </w:r>
        <w:r w:rsidRPr="006B46C7">
          <w:rPr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</w:hyperlink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провел симуляцию для проверки национальных механизмов 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6B46C7">
        <w:rPr>
          <w:rFonts w:ascii="Times New Roman" w:hAnsi="Times New Roman" w:cs="Times New Roman"/>
          <w:sz w:val="24"/>
          <w:szCs w:val="24"/>
        </w:rPr>
        <w:t>bail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B46C7">
        <w:rPr>
          <w:rFonts w:ascii="Times New Roman" w:hAnsi="Times New Roman" w:cs="Times New Roman"/>
          <w:sz w:val="24"/>
          <w:szCs w:val="24"/>
        </w:rPr>
        <w:t>in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протоколов с ключевыми заинтересованными сторонами в отрасли. Канадский механизм 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6B46C7">
        <w:rPr>
          <w:rFonts w:ascii="Times New Roman" w:hAnsi="Times New Roman" w:cs="Times New Roman"/>
          <w:sz w:val="24"/>
          <w:szCs w:val="24"/>
        </w:rPr>
        <w:t>bail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B46C7">
        <w:rPr>
          <w:rFonts w:ascii="Times New Roman" w:hAnsi="Times New Roman" w:cs="Times New Roman"/>
          <w:sz w:val="24"/>
          <w:szCs w:val="24"/>
        </w:rPr>
        <w:t>in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позволяет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конвертировать определенные инструменты </w:t>
      </w:r>
      <w:r w:rsidR="0011353E" w:rsidRPr="006B46C7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анадского системно значимого банка в обыкновенные акции для восстановления его жизнеспособности, позволяя при этом </w:t>
      </w:r>
      <w:r w:rsidR="0011353E" w:rsidRPr="006B46C7">
        <w:rPr>
          <w:rFonts w:ascii="Times New Roman" w:hAnsi="Times New Roman" w:cs="Times New Roman"/>
          <w:sz w:val="24"/>
          <w:szCs w:val="24"/>
          <w:lang w:val="ru-RU"/>
        </w:rPr>
        <w:t>банку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оставаться открытым и сохранять непрерывность критически важных функций. Имитационное мероприятие 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6B46C7">
        <w:rPr>
          <w:rFonts w:ascii="Times New Roman" w:hAnsi="Times New Roman" w:cs="Times New Roman"/>
          <w:sz w:val="24"/>
          <w:szCs w:val="24"/>
        </w:rPr>
        <w:t>bail</w:t>
      </w:r>
      <w:r w:rsidR="0011353E" w:rsidRPr="006B46C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B46C7">
        <w:rPr>
          <w:rFonts w:ascii="Times New Roman" w:hAnsi="Times New Roman" w:cs="Times New Roman"/>
          <w:sz w:val="24"/>
          <w:szCs w:val="24"/>
        </w:rPr>
        <w:t>in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было основано на </w:t>
      </w:r>
      <w:r w:rsidR="00391F6B" w:rsidRPr="006B46C7">
        <w:rPr>
          <w:rFonts w:ascii="Times New Roman" w:hAnsi="Times New Roman" w:cs="Times New Roman"/>
          <w:sz w:val="24"/>
          <w:szCs w:val="24"/>
          <w:lang w:val="ru-RU"/>
        </w:rPr>
        <w:t>банкротстве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вымышленного </w:t>
      </w:r>
      <w:r w:rsidR="00B1307C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11353E" w:rsidRPr="006B46C7">
        <w:rPr>
          <w:rFonts w:ascii="Times New Roman" w:hAnsi="Times New Roman" w:cs="Times New Roman"/>
          <w:sz w:val="24"/>
          <w:szCs w:val="24"/>
          <w:lang w:val="ru-RU"/>
        </w:rPr>
        <w:t>анадского системно значимого банка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6B46C7">
        <w:rPr>
          <w:rFonts w:ascii="Times New Roman" w:hAnsi="Times New Roman" w:cs="Times New Roman"/>
          <w:sz w:val="24"/>
          <w:szCs w:val="24"/>
        </w:rPr>
        <w:t>ABC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</w:rPr>
        <w:t>Bank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В ходе двухдневной имитации проверялись шаги, которые будут предприняты после определения нежизнеспособности </w:t>
      </w:r>
      <w:r w:rsidR="00B1307C">
        <w:rPr>
          <w:rFonts w:ascii="Times New Roman" w:hAnsi="Times New Roman" w:cs="Times New Roman"/>
          <w:sz w:val="24"/>
          <w:szCs w:val="24"/>
          <w:lang w:val="ru-RU"/>
        </w:rPr>
        <w:t>Суперинтендатом по</w:t>
      </w:r>
      <w:r w:rsidR="00391F6B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финансовы</w:t>
      </w:r>
      <w:r w:rsidR="00B1307C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307C">
        <w:rPr>
          <w:rFonts w:ascii="Times New Roman" w:hAnsi="Times New Roman" w:cs="Times New Roman"/>
          <w:sz w:val="24"/>
          <w:szCs w:val="24"/>
          <w:lang w:val="ru-RU"/>
        </w:rPr>
        <w:t>учреждениям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, вплоть до передачи обыкновенных акций держателям конвертированных инструментов.</w:t>
      </w:r>
    </w:p>
    <w:p w14:paraId="11EB353E" w14:textId="65EDE0E2" w:rsidR="001B0301" w:rsidRDefault="004D2C53" w:rsidP="006B46C7">
      <w:pPr>
        <w:pStyle w:val="11"/>
        <w:pBdr>
          <w:bottom w:val="single" w:sz="4" w:space="0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Тестирование механизма 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6B46C7">
        <w:rPr>
          <w:rFonts w:ascii="Times New Roman" w:hAnsi="Times New Roman" w:cs="Times New Roman"/>
          <w:sz w:val="24"/>
          <w:szCs w:val="24"/>
        </w:rPr>
        <w:t>bail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B46C7">
        <w:rPr>
          <w:rFonts w:ascii="Times New Roman" w:hAnsi="Times New Roman" w:cs="Times New Roman"/>
          <w:sz w:val="24"/>
          <w:szCs w:val="24"/>
        </w:rPr>
        <w:t>in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было естественным продолжением цикла планирования урегулирования несостоятельности, поскольку большинство соответствующих протоколов и игровых схем были разработаны в течение последних пяти лет. На международном уровне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FS</w:t>
      </w:r>
      <w:r w:rsidR="00B1307C">
        <w:rPr>
          <w:rFonts w:ascii="Times New Roman" w:hAnsi="Times New Roman" w:cs="Times New Roman"/>
          <w:sz w:val="24"/>
          <w:szCs w:val="24"/>
        </w:rPr>
        <w:t>B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продолжает развивать диалог между органами по урегулированию несостоятельности и участниками рынка, чтобы обеспечить функционирование механизма 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6B46C7">
        <w:rPr>
          <w:rFonts w:ascii="Times New Roman" w:hAnsi="Times New Roman" w:cs="Times New Roman"/>
          <w:sz w:val="24"/>
          <w:szCs w:val="24"/>
        </w:rPr>
        <w:t>bail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B46C7">
        <w:rPr>
          <w:rFonts w:ascii="Times New Roman" w:hAnsi="Times New Roman" w:cs="Times New Roman"/>
          <w:sz w:val="24"/>
          <w:szCs w:val="24"/>
        </w:rPr>
        <w:t>in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. Учитывая достигнутый на сегодняшний день прогресс,</w:t>
      </w:r>
      <w:r w:rsidR="0011353E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200" w:name="bookmark237"/>
      <w:bookmarkEnd w:id="200"/>
      <w:r w:rsidR="000B5403">
        <w:rPr>
          <w:rFonts w:ascii="Times New Roman" w:hAnsi="Times New Roman" w:cs="Times New Roman"/>
          <w:sz w:val="24"/>
          <w:szCs w:val="24"/>
          <w:lang w:val="ru-RU"/>
        </w:rPr>
        <w:t>CDIC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посчитал, что настал подходящий момент для проверки механизма 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6B46C7">
        <w:rPr>
          <w:rFonts w:ascii="Times New Roman" w:hAnsi="Times New Roman" w:cs="Times New Roman"/>
          <w:sz w:val="24"/>
          <w:szCs w:val="24"/>
        </w:rPr>
        <w:t>bail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B46C7">
        <w:rPr>
          <w:rFonts w:ascii="Times New Roman" w:hAnsi="Times New Roman" w:cs="Times New Roman"/>
          <w:sz w:val="24"/>
          <w:szCs w:val="24"/>
        </w:rPr>
        <w:t>in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5403">
        <w:rPr>
          <w:rFonts w:ascii="Times New Roman" w:hAnsi="Times New Roman" w:cs="Times New Roman"/>
          <w:sz w:val="24"/>
          <w:szCs w:val="24"/>
          <w:lang w:val="ru-RU"/>
        </w:rPr>
        <w:t>CDIC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на внутреннем рынке. Сценарий был разработан для того, чтобы проверить осуществимость механизма 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6B46C7">
        <w:rPr>
          <w:rFonts w:ascii="Times New Roman" w:hAnsi="Times New Roman" w:cs="Times New Roman"/>
          <w:sz w:val="24"/>
          <w:szCs w:val="24"/>
        </w:rPr>
        <w:t>bail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B46C7">
        <w:rPr>
          <w:rFonts w:ascii="Times New Roman" w:hAnsi="Times New Roman" w:cs="Times New Roman"/>
          <w:sz w:val="24"/>
          <w:szCs w:val="24"/>
        </w:rPr>
        <w:t>in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выходные дни урегулирования несостоятельности, а именно:</w:t>
      </w:r>
    </w:p>
    <w:p w14:paraId="64424EC1" w14:textId="77777777" w:rsidR="00B1307C" w:rsidRDefault="00B1307C" w:rsidP="006B46C7">
      <w:pPr>
        <w:pStyle w:val="11"/>
        <w:pBdr>
          <w:bottom w:val="single" w:sz="4" w:space="0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0843EA" w14:textId="1B2AA20C" w:rsidR="00B1307C" w:rsidRPr="00B1307C" w:rsidRDefault="00B1307C" w:rsidP="00B1307C">
      <w:pPr>
        <w:pStyle w:val="11"/>
        <w:pBdr>
          <w:bottom w:val="single" w:sz="4" w:space="0" w:color="auto"/>
        </w:pBdr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•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Провести проверку выполнения задачи </w:t>
      </w:r>
      <w:r w:rsidRPr="00B1307C">
        <w:rPr>
          <w:rFonts w:ascii="Times New Roman" w:hAnsi="Times New Roman" w:cs="Times New Roman"/>
          <w:sz w:val="24"/>
          <w:szCs w:val="24"/>
          <w:lang w:val="ru-RU"/>
        </w:rPr>
        <w:t xml:space="preserve">(последовательность и скорость) и информацию, необходимую для </w:t>
      </w:r>
      <w:r>
        <w:rPr>
          <w:rFonts w:ascii="Times New Roman" w:hAnsi="Times New Roman" w:cs="Times New Roman"/>
          <w:sz w:val="24"/>
          <w:szCs w:val="24"/>
          <w:lang w:val="ru-RU"/>
        </w:rPr>
        <w:t>выполнения</w:t>
      </w:r>
      <w:r w:rsidRPr="00B1307C">
        <w:rPr>
          <w:rFonts w:ascii="Times New Roman" w:hAnsi="Times New Roman" w:cs="Times New Roman"/>
          <w:sz w:val="24"/>
          <w:szCs w:val="24"/>
          <w:lang w:val="ru-RU"/>
        </w:rPr>
        <w:t xml:space="preserve"> механизма “bail-in” в выходные дни.</w:t>
      </w:r>
    </w:p>
    <w:p w14:paraId="5422399B" w14:textId="259C28D0" w:rsidR="00B1307C" w:rsidRPr="00B1307C" w:rsidRDefault="00B1307C" w:rsidP="00B1307C">
      <w:pPr>
        <w:pStyle w:val="11"/>
        <w:pBdr>
          <w:bottom w:val="single" w:sz="4" w:space="0" w:color="auto"/>
        </w:pBdr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•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В</w:t>
      </w:r>
      <w:r w:rsidRPr="00B1307C">
        <w:rPr>
          <w:rFonts w:ascii="Times New Roman" w:hAnsi="Times New Roman" w:cs="Times New Roman"/>
          <w:sz w:val="24"/>
          <w:szCs w:val="24"/>
          <w:lang w:val="ru-RU"/>
        </w:rPr>
        <w:t>ыявить операционные проблемы, которые могут возникнуть, и оценить, имеются ли достаточные меры по их снижению или необходимо внести изменения в существующие игровые схемы/протоколы</w:t>
      </w:r>
    </w:p>
    <w:p w14:paraId="4008C1BB" w14:textId="45F92354" w:rsidR="00B1307C" w:rsidRPr="00B1307C" w:rsidRDefault="00B1307C" w:rsidP="00B1307C">
      <w:pPr>
        <w:pStyle w:val="11"/>
        <w:pBdr>
          <w:bottom w:val="single" w:sz="4" w:space="0" w:color="auto"/>
        </w:pBdr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307C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1307C">
        <w:rPr>
          <w:rFonts w:ascii="Times New Roman" w:hAnsi="Times New Roman" w:cs="Times New Roman"/>
          <w:sz w:val="24"/>
          <w:szCs w:val="24"/>
          <w:lang w:val="ru-RU"/>
        </w:rPr>
        <w:tab/>
        <w:t>Ознаком</w:t>
      </w:r>
      <w:r>
        <w:rPr>
          <w:rFonts w:ascii="Times New Roman" w:hAnsi="Times New Roman" w:cs="Times New Roman"/>
          <w:sz w:val="24"/>
          <w:szCs w:val="24"/>
          <w:lang w:val="ru-RU"/>
        </w:rPr>
        <w:t>ить</w:t>
      </w:r>
      <w:r w:rsidRPr="00B1307C">
        <w:rPr>
          <w:rFonts w:ascii="Times New Roman" w:hAnsi="Times New Roman" w:cs="Times New Roman"/>
          <w:sz w:val="24"/>
          <w:szCs w:val="24"/>
          <w:lang w:val="ru-RU"/>
        </w:rPr>
        <w:t xml:space="preserve"> внутренних заинтересованных сторон с ролями, обязанностями и взаимозависимостью.</w:t>
      </w:r>
    </w:p>
    <w:p w14:paraId="2AFCF548" w14:textId="5C78D612" w:rsidR="00B1307C" w:rsidRPr="00B1307C" w:rsidRDefault="00B1307C" w:rsidP="00B1307C">
      <w:pPr>
        <w:pStyle w:val="11"/>
        <w:pBdr>
          <w:bottom w:val="single" w:sz="4" w:space="0" w:color="auto"/>
        </w:pBdr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307C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1307C">
        <w:rPr>
          <w:rFonts w:ascii="Times New Roman" w:hAnsi="Times New Roman" w:cs="Times New Roman"/>
          <w:sz w:val="24"/>
          <w:szCs w:val="24"/>
          <w:lang w:val="ru-RU"/>
        </w:rPr>
        <w:tab/>
        <w:t>Оцен</w:t>
      </w:r>
      <w:r>
        <w:rPr>
          <w:rFonts w:ascii="Times New Roman" w:hAnsi="Times New Roman" w:cs="Times New Roman"/>
          <w:sz w:val="24"/>
          <w:szCs w:val="24"/>
          <w:lang w:val="ru-RU"/>
        </w:rPr>
        <w:t>ить</w:t>
      </w:r>
      <w:r w:rsidRPr="00B1307C">
        <w:rPr>
          <w:rFonts w:ascii="Times New Roman" w:hAnsi="Times New Roman" w:cs="Times New Roman"/>
          <w:sz w:val="24"/>
          <w:szCs w:val="24"/>
          <w:lang w:val="ru-RU"/>
        </w:rPr>
        <w:t xml:space="preserve"> осуществимост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B1307C">
        <w:rPr>
          <w:rFonts w:ascii="Times New Roman" w:hAnsi="Times New Roman" w:cs="Times New Roman"/>
          <w:sz w:val="24"/>
          <w:szCs w:val="24"/>
          <w:lang w:val="ru-RU"/>
        </w:rPr>
        <w:t xml:space="preserve"> предпочтительного для CDIC механизма “bail-in</w:t>
      </w:r>
      <w:r w:rsidRPr="00B1307C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14:paraId="455A9689" w14:textId="698C59F9" w:rsidR="00B1307C" w:rsidRPr="00B1307C" w:rsidRDefault="00B1307C" w:rsidP="00B1307C">
      <w:pPr>
        <w:pStyle w:val="11"/>
        <w:pBdr>
          <w:bottom w:val="single" w:sz="4" w:space="0" w:color="auto"/>
        </w:pBdr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307C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1307C">
        <w:rPr>
          <w:rFonts w:ascii="Times New Roman" w:hAnsi="Times New Roman" w:cs="Times New Roman"/>
          <w:sz w:val="24"/>
          <w:szCs w:val="24"/>
          <w:lang w:val="ru-RU"/>
        </w:rPr>
        <w:tab/>
        <w:t>Укреп</w:t>
      </w:r>
      <w:r>
        <w:rPr>
          <w:rFonts w:ascii="Times New Roman" w:hAnsi="Times New Roman" w:cs="Times New Roman"/>
          <w:sz w:val="24"/>
          <w:szCs w:val="24"/>
          <w:lang w:val="ru-RU"/>
        </w:rPr>
        <w:t>ить</w:t>
      </w:r>
      <w:r w:rsidRPr="00B1307C">
        <w:rPr>
          <w:rFonts w:ascii="Times New Roman" w:hAnsi="Times New Roman" w:cs="Times New Roman"/>
          <w:sz w:val="24"/>
          <w:szCs w:val="24"/>
          <w:lang w:val="ru-RU"/>
        </w:rPr>
        <w:t xml:space="preserve"> рабочи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1307C">
        <w:rPr>
          <w:rFonts w:ascii="Times New Roman" w:hAnsi="Times New Roman" w:cs="Times New Roman"/>
          <w:sz w:val="24"/>
          <w:szCs w:val="24"/>
          <w:lang w:val="ru-RU"/>
        </w:rPr>
        <w:t xml:space="preserve"> отношени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B1307C">
        <w:rPr>
          <w:rFonts w:ascii="Times New Roman" w:hAnsi="Times New Roman" w:cs="Times New Roman"/>
          <w:sz w:val="24"/>
          <w:szCs w:val="24"/>
          <w:lang w:val="ru-RU"/>
        </w:rPr>
        <w:t xml:space="preserve"> между заинтересованными сторонами </w:t>
      </w:r>
    </w:p>
    <w:p w14:paraId="55CA6C46" w14:textId="5EA9A579" w:rsidR="00B1307C" w:rsidRDefault="00B1307C" w:rsidP="00B1307C">
      <w:pPr>
        <w:pStyle w:val="11"/>
        <w:pBdr>
          <w:bottom w:val="single" w:sz="4" w:space="0" w:color="auto"/>
        </w:pBd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307C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B1307C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Послужить основой для будущих целевых испытаний с участием </w:t>
      </w:r>
      <w:r>
        <w:rPr>
          <w:rFonts w:ascii="Times New Roman" w:hAnsi="Times New Roman" w:cs="Times New Roman"/>
          <w:sz w:val="24"/>
          <w:szCs w:val="24"/>
          <w:lang w:val="ru-RU"/>
        </w:rPr>
        <w:t>национальных</w:t>
      </w:r>
      <w:r w:rsidRPr="00B1307C">
        <w:rPr>
          <w:rFonts w:ascii="Times New Roman" w:hAnsi="Times New Roman" w:cs="Times New Roman"/>
          <w:sz w:val="24"/>
          <w:szCs w:val="24"/>
          <w:lang w:val="ru-RU"/>
        </w:rPr>
        <w:t xml:space="preserve"> и зарубежных регуляторов и других участников рынка.</w:t>
      </w:r>
    </w:p>
    <w:p w14:paraId="51A893DE" w14:textId="77777777" w:rsidR="00B1307C" w:rsidRDefault="00B1307C" w:rsidP="006B46C7">
      <w:pPr>
        <w:pStyle w:val="11"/>
        <w:pBdr>
          <w:bottom w:val="single" w:sz="4" w:space="0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D73ABF" w14:textId="77B48AE7" w:rsidR="00B1307C" w:rsidRDefault="00B1307C" w:rsidP="00B1307C">
      <w:pPr>
        <w:pStyle w:val="11"/>
        <w:pBdr>
          <w:bottom w:val="single" w:sz="4" w:space="0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307C">
        <w:rPr>
          <w:rFonts w:ascii="Times New Roman" w:hAnsi="Times New Roman" w:cs="Times New Roman"/>
          <w:sz w:val="24"/>
          <w:szCs w:val="24"/>
          <w:lang w:val="ru-RU"/>
        </w:rPr>
        <w:t xml:space="preserve">В учениях приняли участие более 50 участников и наблюдателей. Хотя CDIC уже несколько лет проводит межведомственные учения, имитация механизма “bail-in” стала первым мероприятием под руководством CDIC, в котором помимо </w:t>
      </w:r>
      <w:r>
        <w:rPr>
          <w:rFonts w:ascii="Times New Roman" w:hAnsi="Times New Roman" w:cs="Times New Roman"/>
          <w:sz w:val="24"/>
          <w:szCs w:val="24"/>
          <w:lang w:val="ru-RU"/>
        </w:rPr>
        <w:t>членов СПФС</w:t>
      </w:r>
      <w:r w:rsidRPr="00B1307C">
        <w:rPr>
          <w:rFonts w:ascii="Times New Roman" w:hAnsi="Times New Roman" w:cs="Times New Roman"/>
          <w:sz w:val="24"/>
          <w:szCs w:val="24"/>
          <w:lang w:val="ru-RU"/>
        </w:rPr>
        <w:t xml:space="preserve"> участвовали заинтересованные стороны из </w:t>
      </w:r>
      <w:r>
        <w:rPr>
          <w:rFonts w:ascii="Times New Roman" w:hAnsi="Times New Roman" w:cs="Times New Roman"/>
          <w:sz w:val="24"/>
          <w:szCs w:val="24"/>
          <w:lang w:val="ru-RU"/>
        </w:rPr>
        <w:t>финансовой сферы</w:t>
      </w:r>
      <w:r w:rsidRPr="00B1307C">
        <w:rPr>
          <w:rFonts w:ascii="Times New Roman" w:hAnsi="Times New Roman" w:cs="Times New Roman"/>
          <w:sz w:val="24"/>
          <w:szCs w:val="24"/>
          <w:lang w:val="ru-RU"/>
        </w:rPr>
        <w:t xml:space="preserve">. Расширение масштабов способствовало как </w:t>
      </w:r>
      <w:r>
        <w:rPr>
          <w:rFonts w:ascii="Times New Roman" w:hAnsi="Times New Roman" w:cs="Times New Roman"/>
          <w:sz w:val="24"/>
          <w:szCs w:val="24"/>
          <w:lang w:val="ru-RU"/>
        </w:rPr>
        <w:t>наполнению</w:t>
      </w:r>
      <w:r w:rsidRPr="00B1307C">
        <w:rPr>
          <w:rFonts w:ascii="Times New Roman" w:hAnsi="Times New Roman" w:cs="Times New Roman"/>
          <w:sz w:val="24"/>
          <w:szCs w:val="24"/>
          <w:lang w:val="ru-RU"/>
        </w:rPr>
        <w:t xml:space="preserve"> учений, так и дискуссиям в ходе моделирования, заложив основу для будущих испытаний.</w:t>
      </w:r>
    </w:p>
    <w:p w14:paraId="22B97296" w14:textId="77777777" w:rsidR="00B1307C" w:rsidRDefault="00B1307C" w:rsidP="00B1307C">
      <w:pPr>
        <w:pStyle w:val="11"/>
        <w:pBdr>
          <w:bottom w:val="single" w:sz="4" w:space="0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809785" w14:textId="77777777" w:rsidR="00B1307C" w:rsidRPr="00B1307C" w:rsidRDefault="00B1307C" w:rsidP="00B1307C">
      <w:pPr>
        <w:pStyle w:val="11"/>
        <w:pBdr>
          <w:bottom w:val="single" w:sz="4" w:space="0" w:color="auto"/>
        </w:pBd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1307C">
        <w:rPr>
          <w:rFonts w:ascii="Times New Roman" w:hAnsi="Times New Roman" w:cs="Times New Roman"/>
          <w:b/>
          <w:sz w:val="24"/>
          <w:szCs w:val="24"/>
          <w:lang w:val="ru-RU"/>
        </w:rPr>
        <w:t>Планирование, разработка и проведение</w:t>
      </w:r>
    </w:p>
    <w:p w14:paraId="4041BD15" w14:textId="7C57C99D" w:rsidR="00B1307C" w:rsidRPr="00B1307C" w:rsidRDefault="00B1307C" w:rsidP="00B1307C">
      <w:pPr>
        <w:pStyle w:val="11"/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307C">
        <w:rPr>
          <w:rFonts w:ascii="Times New Roman" w:hAnsi="Times New Roman" w:cs="Times New Roman"/>
          <w:sz w:val="24"/>
          <w:szCs w:val="24"/>
          <w:lang w:val="ru-RU"/>
        </w:rPr>
        <w:t>Генеральный директор и совет директоров CDIC провели разъяснительную работу, чтобы стимулировать участие и обеспечить приверженность всех заинтересованных сторон в отрасли. Чтобы повысить вовлеченность и заинтересованность участников, CDIC использовал совместный подход к определению масштаба и целей, но в остальном взял на себя основную ответственность за планирование и разработку.</w:t>
      </w:r>
    </w:p>
    <w:p w14:paraId="34FFB176" w14:textId="79A92CBE" w:rsidR="00B1307C" w:rsidRPr="00B1307C" w:rsidRDefault="00B1307C" w:rsidP="00B1307C">
      <w:pPr>
        <w:pStyle w:val="11"/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307C">
        <w:rPr>
          <w:rFonts w:ascii="Times New Roman" w:hAnsi="Times New Roman" w:cs="Times New Roman"/>
          <w:sz w:val="24"/>
          <w:szCs w:val="24"/>
          <w:lang w:val="ru-RU"/>
        </w:rPr>
        <w:t xml:space="preserve">CDIC определил масштаб и подход к тестированию, проведя серию семинаров по планированию и проектированию с участниками учений. В проектной группе были представлены все </w:t>
      </w:r>
      <w:r w:rsidR="0078130B">
        <w:rPr>
          <w:rFonts w:ascii="Times New Roman" w:hAnsi="Times New Roman" w:cs="Times New Roman"/>
          <w:sz w:val="24"/>
          <w:szCs w:val="24"/>
          <w:lang w:val="ru-RU"/>
        </w:rPr>
        <w:t>заинтересованные</w:t>
      </w:r>
      <w:r w:rsidRPr="00B1307C">
        <w:rPr>
          <w:rFonts w:ascii="Times New Roman" w:hAnsi="Times New Roman" w:cs="Times New Roman"/>
          <w:sz w:val="24"/>
          <w:szCs w:val="24"/>
          <w:lang w:val="ru-RU"/>
        </w:rPr>
        <w:t xml:space="preserve"> стороны. CDIC составил список шагов, связанных с </w:t>
      </w:r>
      <w:r w:rsidR="0078130B">
        <w:rPr>
          <w:rFonts w:ascii="Times New Roman" w:hAnsi="Times New Roman" w:cs="Times New Roman"/>
          <w:sz w:val="24"/>
          <w:szCs w:val="24"/>
          <w:lang w:val="ru-RU"/>
        </w:rPr>
        <w:t>использованием</w:t>
      </w:r>
      <w:r w:rsidRPr="00B1307C">
        <w:rPr>
          <w:rFonts w:ascii="Times New Roman" w:hAnsi="Times New Roman" w:cs="Times New Roman"/>
          <w:sz w:val="24"/>
          <w:szCs w:val="24"/>
          <w:lang w:val="ru-RU"/>
        </w:rPr>
        <w:t xml:space="preserve"> механизма “bail-in”, которые должны были быть предприняты участвующими сторонами на коллективной основе. Этот список был составлен на основе протоколов, писем и имитационных руководств заинтересованных сторон. CDIC использовал этот список с целью: 1) улучшить понимание операционных проблем, времени, документации и других требований, связанных с каждым этапом конверсии, попросив заинтересованные стороны ответить на ряд вопросов, и 2) определить масштаб деятельности по моделированию. В качестве отправной точки CDIC предложил перечень мероприятий, которые должны входить в сферу охвата, и запросил мнения заинтересованных сторон до начала моделирования, чтобы определить, какие мероприятия должны быть смоделированы. Сценарий разрабатывался и уточнялся в течение нескольких месяцев, предшествовавших проведению моделирования, и включал в себя предположения о макроэкономическом фоне, вымышленной информации о “ABC Bank”, реакции рынка и СМИ, а также реакции регулирующих органов.</w:t>
      </w:r>
    </w:p>
    <w:p w14:paraId="5047C5BF" w14:textId="2A60F241" w:rsidR="00B1307C" w:rsidRPr="00B1307C" w:rsidRDefault="0078130B" w:rsidP="00B1307C">
      <w:pPr>
        <w:pStyle w:val="11"/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Моделирование</w:t>
      </w:r>
      <w:r w:rsidR="00B1307C" w:rsidRPr="00B1307C">
        <w:rPr>
          <w:rFonts w:ascii="Times New Roman" w:hAnsi="Times New Roman" w:cs="Times New Roman"/>
          <w:sz w:val="24"/>
          <w:szCs w:val="24"/>
          <w:lang w:val="ru-RU"/>
        </w:rPr>
        <w:t xml:space="preserve"> проводил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B1307C" w:rsidRPr="00B1307C">
        <w:rPr>
          <w:rFonts w:ascii="Times New Roman" w:hAnsi="Times New Roman" w:cs="Times New Roman"/>
          <w:sz w:val="24"/>
          <w:szCs w:val="24"/>
          <w:lang w:val="ru-RU"/>
        </w:rPr>
        <w:t>сь виртуально. Участникам было предложено самостоятельно назначать встречи с соответствующей командой (командами). В течение двух дней было смоделировано около 100 шагов с использованием специально подготовленных артефактов, ролевых встреч и обсуждений. Участников просили участвовать в сценарии, посещать все заранее запланированные и специальные встречи и выполнять свои роли так, как они бы делали это в условиях реального кризиса.</w:t>
      </w:r>
    </w:p>
    <w:p w14:paraId="6C7A0DF8" w14:textId="77777777" w:rsidR="00B1307C" w:rsidRPr="0078130B" w:rsidRDefault="00B1307C" w:rsidP="00B1307C">
      <w:pPr>
        <w:pStyle w:val="11"/>
        <w:pBdr>
          <w:bottom w:val="single" w:sz="4" w:space="0" w:color="auto"/>
        </w:pBd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8130B">
        <w:rPr>
          <w:rFonts w:ascii="Times New Roman" w:hAnsi="Times New Roman" w:cs="Times New Roman"/>
          <w:b/>
          <w:sz w:val="24"/>
          <w:szCs w:val="24"/>
          <w:lang w:val="ru-RU"/>
        </w:rPr>
        <w:t>Возникшие проблемы</w:t>
      </w:r>
    </w:p>
    <w:p w14:paraId="2176DE47" w14:textId="77777777" w:rsidR="00B1307C" w:rsidRPr="00B1307C" w:rsidRDefault="00B1307C" w:rsidP="00B1307C">
      <w:pPr>
        <w:pStyle w:val="11"/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307C">
        <w:rPr>
          <w:rFonts w:ascii="Times New Roman" w:hAnsi="Times New Roman" w:cs="Times New Roman"/>
          <w:sz w:val="24"/>
          <w:szCs w:val="24"/>
          <w:lang w:val="ru-RU"/>
        </w:rPr>
        <w:t>Практической проблемой было дополнительное время, необходимое для этапа разработки, учитывая количество заинтересованных сторон, каждая из которых имела свои собственные полномочия, и сложность необходимых действий. В связи с расширением круга участников существовал риск непреднамеренного разглашения конфиденциальной информации, чего не было в такой степени в ходе предыдущих внутренних и межведомственных учений. В результате был принят ряд мер предосторожности, включая использование фиктивных данных и подписание соглашений о неразглашении (NDA) со всеми участвующими сторонами. Кроме того, значительное время и ресурсы были направлены на создание безопасной зоны разработки. Это, а также тот факт, что один из участников участвовал в обновлении систем, привело к сужению масштаба учений и исключению элементов производства данных.</w:t>
      </w:r>
    </w:p>
    <w:p w14:paraId="683A14F2" w14:textId="77777777" w:rsidR="00B1307C" w:rsidRPr="0078130B" w:rsidRDefault="00B1307C" w:rsidP="00B1307C">
      <w:pPr>
        <w:pStyle w:val="11"/>
        <w:pBdr>
          <w:bottom w:val="single" w:sz="4" w:space="0" w:color="auto"/>
        </w:pBd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8130B">
        <w:rPr>
          <w:rFonts w:ascii="Times New Roman" w:hAnsi="Times New Roman" w:cs="Times New Roman"/>
          <w:b/>
          <w:sz w:val="24"/>
          <w:szCs w:val="24"/>
          <w:lang w:val="ru-RU"/>
        </w:rPr>
        <w:t>Отзывы участников</w:t>
      </w:r>
    </w:p>
    <w:p w14:paraId="174268E0" w14:textId="75DF0390" w:rsidR="00B1307C" w:rsidRPr="00B1307C" w:rsidRDefault="00B1307C" w:rsidP="00B1307C">
      <w:pPr>
        <w:pStyle w:val="11"/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307C">
        <w:rPr>
          <w:rFonts w:ascii="Times New Roman" w:hAnsi="Times New Roman" w:cs="Times New Roman"/>
          <w:sz w:val="24"/>
          <w:szCs w:val="24"/>
          <w:lang w:val="ru-RU"/>
        </w:rPr>
        <w:t xml:space="preserve">В целом участники и наблюдатели высоко оценили реалистичность сценария и отличную степень взаимодействия между заинтересованными сторонами. Участники выразили намерение провести в будущем </w:t>
      </w:r>
      <w:r w:rsidR="0078130B" w:rsidRPr="00B1307C">
        <w:rPr>
          <w:rFonts w:ascii="Times New Roman" w:hAnsi="Times New Roman" w:cs="Times New Roman"/>
          <w:sz w:val="24"/>
          <w:szCs w:val="24"/>
          <w:lang w:val="ru-RU"/>
        </w:rPr>
        <w:t>дополнительные</w:t>
      </w:r>
      <w:r w:rsidRPr="00B1307C">
        <w:rPr>
          <w:rFonts w:ascii="Times New Roman" w:hAnsi="Times New Roman" w:cs="Times New Roman"/>
          <w:sz w:val="24"/>
          <w:szCs w:val="24"/>
          <w:lang w:val="ru-RU"/>
        </w:rPr>
        <w:t xml:space="preserve"> целевые учения для отработки трансграничных вопросов и координации процессов коммуникации. Участники также отметили, что после моделирования они стали лучше понимать роль и обязанности каждой из заинтересованных сторон. Несмотря на то, что учения прошли успешно, они также выявили области, на которые следует обратить внимание для повышения готовности CDIC и совершенствования протоколов и игровых схем.</w:t>
      </w:r>
    </w:p>
    <w:p w14:paraId="69BE0E7F" w14:textId="77777777" w:rsidR="00B1307C" w:rsidRPr="0078130B" w:rsidRDefault="00B1307C" w:rsidP="00B1307C">
      <w:pPr>
        <w:pStyle w:val="11"/>
        <w:pBdr>
          <w:bottom w:val="single" w:sz="4" w:space="0" w:color="auto"/>
        </w:pBd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8130B">
        <w:rPr>
          <w:rFonts w:ascii="Times New Roman" w:hAnsi="Times New Roman" w:cs="Times New Roman"/>
          <w:b/>
          <w:sz w:val="24"/>
          <w:szCs w:val="24"/>
          <w:lang w:val="ru-RU"/>
        </w:rPr>
        <w:t>Выводы</w:t>
      </w:r>
    </w:p>
    <w:p w14:paraId="1E20C534" w14:textId="18B0BD47" w:rsidR="0078130B" w:rsidRPr="00B1307C" w:rsidRDefault="0078130B" w:rsidP="0078130B">
      <w:pPr>
        <w:pStyle w:val="11"/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307C">
        <w:rPr>
          <w:rFonts w:ascii="Times New Roman" w:hAnsi="Times New Roman" w:cs="Times New Roman"/>
          <w:sz w:val="24"/>
          <w:szCs w:val="24"/>
          <w:lang w:val="ru-RU"/>
        </w:rPr>
        <w:t xml:space="preserve">Учения “bail-in” подтвердили преимущества проведения имитационных моделей с участием соответствующих заинтересованных сторон как внутри, так и за пределами </w:t>
      </w:r>
      <w:r>
        <w:rPr>
          <w:rFonts w:ascii="Times New Roman" w:hAnsi="Times New Roman" w:cs="Times New Roman"/>
          <w:sz w:val="24"/>
          <w:szCs w:val="24"/>
          <w:lang w:val="ru-RU"/>
        </w:rPr>
        <w:t>СПФС</w:t>
      </w:r>
      <w:r w:rsidRPr="00B1307C">
        <w:rPr>
          <w:rFonts w:ascii="Times New Roman" w:hAnsi="Times New Roman" w:cs="Times New Roman"/>
          <w:sz w:val="24"/>
          <w:szCs w:val="24"/>
          <w:lang w:val="ru-RU"/>
        </w:rPr>
        <w:t xml:space="preserve"> для выявления пробелов и снижения неопределенности.</w:t>
      </w:r>
    </w:p>
    <w:p w14:paraId="6A3A25B1" w14:textId="4F441523" w:rsidR="0078130B" w:rsidRPr="00B1307C" w:rsidRDefault="0078130B" w:rsidP="0078130B">
      <w:pPr>
        <w:pStyle w:val="11"/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307C">
        <w:rPr>
          <w:rFonts w:ascii="Times New Roman" w:hAnsi="Times New Roman" w:cs="Times New Roman"/>
          <w:sz w:val="24"/>
          <w:szCs w:val="24"/>
          <w:lang w:val="ru-RU"/>
        </w:rPr>
        <w:t>По сравнению с внутренними учениями имитационное моделирование с участием нескольких групп заинтересованных сторон обычно требует больше времени и ресурсов при планировании учений и заключени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B1307C">
        <w:rPr>
          <w:rFonts w:ascii="Times New Roman" w:hAnsi="Times New Roman" w:cs="Times New Roman"/>
          <w:sz w:val="24"/>
          <w:szCs w:val="24"/>
          <w:lang w:val="ru-RU"/>
        </w:rPr>
        <w:t xml:space="preserve"> NDA или других соглашений о безопасном обмене информацией для обеспечения конфиденциальности. Это подчеркивает важность резервного времени и определения четких ожиданий. Перед тем как пригласить участвующие стороны, CDIC определил многие ключевые риски внутри компании и рассмотрел возможные меры по их снижению, что позволило CDIC оставаться гибким и быстро перестраиваться при возникновении проблем.</w:t>
      </w:r>
    </w:p>
    <w:p w14:paraId="53C4F448" w14:textId="77777777" w:rsidR="0078130B" w:rsidRPr="00B1307C" w:rsidRDefault="0078130B" w:rsidP="0078130B">
      <w:pPr>
        <w:pStyle w:val="11"/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307C">
        <w:rPr>
          <w:rFonts w:ascii="Times New Roman" w:hAnsi="Times New Roman" w:cs="Times New Roman"/>
          <w:sz w:val="24"/>
          <w:szCs w:val="24"/>
          <w:lang w:val="ru-RU"/>
        </w:rPr>
        <w:t>Привлечение внешних заинтересованных сторон также требует четкой и осторожной коммуникации, чтобы не вызвать опасений по поводу стабильности конкретных банков. Один из эффективных подходов заключался в том, чтобы позиционировать симуляцию как активную и рутинную часть работы по подготовке к кризису, направленную на укрепление устойчивости всего финансового сектора, а не как ответ на конкретную проблему. Использование гипотетических сценариев без указания реальных учреждений также может предотвратить излишнюю тревогу.</w:t>
      </w:r>
    </w:p>
    <w:p w14:paraId="45DC4719" w14:textId="245452FF" w:rsidR="0078130B" w:rsidRDefault="0078130B" w:rsidP="0078130B">
      <w:pPr>
        <w:pStyle w:val="11"/>
        <w:pBdr>
          <w:bottom w:val="single" w:sz="4" w:space="0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307C">
        <w:rPr>
          <w:rFonts w:ascii="Times New Roman" w:hAnsi="Times New Roman" w:cs="Times New Roman"/>
          <w:sz w:val="24"/>
          <w:szCs w:val="24"/>
          <w:lang w:val="ru-RU"/>
        </w:rPr>
        <w:t xml:space="preserve">Учения предоставили участникам и наблюдателям неоценимую возможность для обучения, подтвердив и определив области для дальнейших улучшений, уточнив роли и обязанности, а также повысив уверенность в </w:t>
      </w:r>
      <w:r>
        <w:rPr>
          <w:rFonts w:ascii="Times New Roman" w:hAnsi="Times New Roman" w:cs="Times New Roman"/>
          <w:sz w:val="24"/>
          <w:szCs w:val="24"/>
          <w:lang w:val="ru-RU"/>
        </w:rPr>
        <w:t>успешном применении</w:t>
      </w:r>
      <w:r w:rsidRPr="00B1307C">
        <w:rPr>
          <w:rFonts w:ascii="Times New Roman" w:hAnsi="Times New Roman" w:cs="Times New Roman"/>
          <w:sz w:val="24"/>
          <w:szCs w:val="24"/>
          <w:lang w:val="ru-RU"/>
        </w:rPr>
        <w:t xml:space="preserve"> механизма “bail-in”. Имитация стала форумом для соответствующих органов власти и заинтересованных сторон для совместной работы по укреплению координации как в обычное время, так и во время кризиса. Извлеченные уроки легли в основу будущих учений по проверке координации информирования общественности, правовых аспектов и совместных действий с национальными и зарубежными органами власти и участниками рынка.</w:t>
      </w:r>
    </w:p>
    <w:p w14:paraId="3BC8B6FC" w14:textId="77777777" w:rsidR="0078130B" w:rsidRPr="00B1307C" w:rsidRDefault="0078130B" w:rsidP="00B1307C">
      <w:pPr>
        <w:pStyle w:val="11"/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DFCC2D" w14:textId="77777777" w:rsidR="00B1307C" w:rsidRPr="006B46C7" w:rsidRDefault="00B1307C" w:rsidP="00B1307C">
      <w:pPr>
        <w:pStyle w:val="11"/>
        <w:pBdr>
          <w:bottom w:val="single" w:sz="4" w:space="0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04262D" w14:textId="03989ECB" w:rsidR="001B0301" w:rsidRPr="006B46C7" w:rsidRDefault="004D2C53">
      <w:pPr>
        <w:pStyle w:val="11"/>
        <w:pBdr>
          <w:bottom w:val="single" w:sz="4" w:space="0" w:color="auto"/>
        </w:pBdr>
        <w:spacing w:after="100"/>
        <w:ind w:left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1" w:name="bookmark238"/>
      <w:bookmarkEnd w:id="201"/>
      <w:r w:rsidRPr="006B46C7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613968F5" w14:textId="60EAF13B" w:rsidR="001B0301" w:rsidRDefault="00F360A8" w:rsidP="00F360A8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  <w:bookmarkStart w:id="202" w:name="bookmark247"/>
      <w:bookmarkStart w:id="203" w:name="bookmark245"/>
      <w:bookmarkStart w:id="204" w:name="bookmark246"/>
      <w:bookmarkStart w:id="205" w:name="bookmark248"/>
      <w:bookmarkStart w:id="206" w:name="bookmark244"/>
      <w:bookmarkStart w:id="207" w:name="_Toc206774072"/>
      <w:bookmarkEnd w:id="202"/>
      <w:r w:rsidRPr="00F360A8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4D2C53" w:rsidRPr="00F360A8">
        <w:rPr>
          <w:rFonts w:ascii="Times New Roman" w:hAnsi="Times New Roman" w:cs="Times New Roman"/>
          <w:sz w:val="28"/>
          <w:szCs w:val="28"/>
          <w:lang w:val="ru-RU"/>
        </w:rPr>
        <w:t>Заключение</w:t>
      </w:r>
      <w:bookmarkEnd w:id="203"/>
      <w:bookmarkEnd w:id="204"/>
      <w:bookmarkEnd w:id="205"/>
      <w:bookmarkEnd w:id="206"/>
      <w:bookmarkEnd w:id="207"/>
    </w:p>
    <w:p w14:paraId="2DFAE9DC" w14:textId="77777777" w:rsidR="00F360A8" w:rsidRPr="00F360A8" w:rsidRDefault="00F360A8" w:rsidP="00F360A8">
      <w:pPr>
        <w:rPr>
          <w:lang w:val="ru-RU"/>
        </w:rPr>
      </w:pPr>
    </w:p>
    <w:p w14:paraId="727C6C52" w14:textId="3E236622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Готовность к кризисным ситуациям и управление ими по-прежнему играют центральную роль в обеспечении доверия к страховщику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Тестирование является эффективным средством повышения готовности страховщиков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к кризису путем проверки существующих процессов, а также выявления и устранения потенциальных препятствий до наступления кризиса. Скорость, с которой разворачивались события марта 2023 года, еще раз акцентировала внимание на важности периодического тестирования операционных возможностей, обмена информацией, сотрудничества и координации</w:t>
      </w:r>
      <w:r w:rsidR="00D50C1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до наступления событий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A548684" w14:textId="4B9C6F81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Данный документ </w:t>
      </w:r>
      <w:r w:rsidR="002B3353" w:rsidRPr="006B46C7">
        <w:rPr>
          <w:rFonts w:ascii="Times New Roman" w:hAnsi="Times New Roman" w:cs="Times New Roman"/>
          <w:sz w:val="24"/>
          <w:szCs w:val="24"/>
          <w:lang w:val="ru-RU"/>
        </w:rPr>
        <w:t>проясняет механизмы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</w:t>
      </w:r>
      <w:r w:rsidR="002B3353" w:rsidRPr="006B46C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B33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способствующей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повышению готовности страховщика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к кризису и управлению им, включая тестирование готовности к кризису и управления им среди членов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которые отличаются друг от друга по истории, финансовым системам и </w:t>
      </w:r>
      <w:r w:rsidR="0078130B">
        <w:rPr>
          <w:rFonts w:ascii="Times New Roman" w:hAnsi="Times New Roman" w:cs="Times New Roman"/>
          <w:sz w:val="24"/>
          <w:szCs w:val="24"/>
          <w:lang w:val="ru-RU"/>
        </w:rPr>
        <w:t>мандату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Хотя большинство опрошенных </w:t>
      </w:r>
      <w:r w:rsidR="002B33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участников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признают ценность проведения программ тестирования, страховщики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с более широкими мандатами часто имеют больше ресурсов и стимулов для проведения регулярных учений. В региональном разрезе ответы свидетельствуют о том, что юрисдикции Северной Америки, Европы и Азиатско-Тихоокеанского региона, как правило, имеют хорошо отлаженные программы тестирования, независимо от их мандатов. Это может быть связано со зрелостью организации, более длительной историей тестирования, лучшей интеграцией этих организаций в свои </w:t>
      </w:r>
      <w:r w:rsidR="0078130B">
        <w:rPr>
          <w:rFonts w:ascii="Times New Roman" w:hAnsi="Times New Roman" w:cs="Times New Roman"/>
          <w:sz w:val="24"/>
          <w:szCs w:val="24"/>
          <w:lang w:val="ru-RU"/>
        </w:rPr>
        <w:t>СПФС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постоянным продвижением усилий по тестированию, опытом сотрудничества между органами власти в регионах и формальными требованиями к тестированию. Хотя для страховщиков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всех мандатов важно проверить свои планы готовности к кризису и управления им</w:t>
      </w:r>
      <w:r w:rsidR="0078130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организации могут принимать решения с учетом своих уникальных потребностей и имеющихся ресурсов. Создание программы тестирования не должно быть сложной задачей; опыт, изложенный в данном документе, показывает, что большинство юрисдикций начинали тестирование на специальной основе и со временем успешно развивали свои цели и расширяли масштабы своих программ.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может рассмотреть возможность создания форума или канала для обмена подробной информацией, такой как сценарии, </w:t>
      </w:r>
      <w:r w:rsidR="0078130B">
        <w:rPr>
          <w:rFonts w:ascii="Times New Roman" w:hAnsi="Times New Roman" w:cs="Times New Roman"/>
          <w:sz w:val="24"/>
          <w:szCs w:val="24"/>
          <w:lang w:val="ru-RU"/>
        </w:rPr>
        <w:t>использование заемных средств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и извлеченные уроки, чтобы облегчить обмен опытом, обучение и совершенствование.</w:t>
      </w:r>
    </w:p>
    <w:p w14:paraId="07B95232" w14:textId="646A1DCB" w:rsidR="001B0301" w:rsidRPr="006B46C7" w:rsidRDefault="004D2C53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Несмотря на то, что количество реальных </w:t>
      </w:r>
      <w:r w:rsidR="007B51DA" w:rsidRPr="006B46C7">
        <w:rPr>
          <w:rFonts w:ascii="Times New Roman" w:hAnsi="Times New Roman" w:cs="Times New Roman"/>
          <w:sz w:val="24"/>
          <w:szCs w:val="24"/>
          <w:lang w:val="ru-RU"/>
        </w:rPr>
        <w:t>ситуаций несостоятельности банков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изученных в данной работе, ограничено, полученные результаты свидетельствуют о том, что тестирование повышает готовность и управленческий потенциал в случае наступления реального кризиса. Все юрисдикции, имевшие недавний опыт преодоления </w:t>
      </w:r>
      <w:r w:rsidR="007B51DA" w:rsidRPr="006B46C7">
        <w:rPr>
          <w:rFonts w:ascii="Times New Roman" w:hAnsi="Times New Roman" w:cs="Times New Roman"/>
          <w:sz w:val="24"/>
          <w:szCs w:val="24"/>
          <w:lang w:val="ru-RU"/>
        </w:rPr>
        <w:t>случаев несостоятельности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отметили положительный эффект от мероприятий по проверке готовности к кризису и управления. Эти учения позволили лучше понять роли и обязанности, способствовали совершенствованию систем и процессов, а также укреплению координации и сотрудничества как внутри организации, так и с другими участниками </w:t>
      </w:r>
      <w:r w:rsidR="0078130B">
        <w:rPr>
          <w:rFonts w:ascii="Times New Roman" w:hAnsi="Times New Roman" w:cs="Times New Roman"/>
          <w:sz w:val="24"/>
          <w:szCs w:val="24"/>
          <w:lang w:val="ru-RU"/>
        </w:rPr>
        <w:t>СПФС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. Для юрисдикций, не имеющих практического опыта банковских банкротств, периодические учения имеют неоценимое значение, поскольку зачастую это единственная возможность для сотрудников потренироваться в сценарии банкротства.</w:t>
      </w:r>
    </w:p>
    <w:p w14:paraId="6B92EC47" w14:textId="3DBB57FF" w:rsidR="001B0301" w:rsidRPr="0078130B" w:rsidRDefault="004F5DC2" w:rsidP="0078130B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130B">
        <w:rPr>
          <w:rFonts w:ascii="Times New Roman" w:hAnsi="Times New Roman" w:cs="Times New Roman"/>
          <w:sz w:val="24"/>
          <w:szCs w:val="24"/>
          <w:lang w:val="ru-RU"/>
        </w:rPr>
        <w:t>Хотя проверка планов готовности к кризисам и систем управления ими несёт очевидные преимущества, страховщики депозитов по-прежнему сталкиваются с рядом проблем, требующих доработки. Основная сложность заключается в отсутствии объективных количественных показателей и достоверных данных, что существенно затрудняет оценку эффективности таких программ. Это, в свою очередь, осложняет обоснование потребности в дополнительных ресурсах и получение необходимой поддержки со стороны других структурных подразделений организации.</w:t>
      </w:r>
    </w:p>
    <w:p w14:paraId="4FCDFB16" w14:textId="06B981BC" w:rsidR="004F5DC2" w:rsidRPr="0078130B" w:rsidRDefault="004F5DC2" w:rsidP="0078130B">
      <w:pPr>
        <w:pStyle w:val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130B">
        <w:rPr>
          <w:rFonts w:ascii="Times New Roman" w:hAnsi="Times New Roman" w:cs="Times New Roman"/>
          <w:sz w:val="24"/>
          <w:szCs w:val="24"/>
          <w:lang w:val="ru-RU"/>
        </w:rPr>
        <w:t xml:space="preserve">Перспективные направления исследований могут включать углублённое изучение последствий публичного анонсирования </w:t>
      </w:r>
      <w:r w:rsidR="0078130B">
        <w:rPr>
          <w:rFonts w:ascii="Times New Roman" w:hAnsi="Times New Roman" w:cs="Times New Roman"/>
          <w:sz w:val="24"/>
          <w:szCs w:val="24"/>
          <w:lang w:val="ru-RU"/>
        </w:rPr>
        <w:t>результатов</w:t>
      </w:r>
      <w:r w:rsidRPr="0078130B">
        <w:rPr>
          <w:rFonts w:ascii="Times New Roman" w:hAnsi="Times New Roman" w:cs="Times New Roman"/>
          <w:sz w:val="24"/>
          <w:szCs w:val="24"/>
          <w:lang w:val="ru-RU"/>
        </w:rPr>
        <w:t xml:space="preserve"> учений, а также анализ комплексных проверок с участием всех субъектов </w:t>
      </w:r>
      <w:r w:rsidR="0078130B">
        <w:rPr>
          <w:rFonts w:ascii="Times New Roman" w:hAnsi="Times New Roman" w:cs="Times New Roman"/>
          <w:sz w:val="24"/>
          <w:szCs w:val="24"/>
          <w:lang w:val="ru-RU"/>
        </w:rPr>
        <w:t xml:space="preserve">СПФС </w:t>
      </w:r>
      <w:r w:rsidRPr="0078130B">
        <w:rPr>
          <w:rFonts w:ascii="Times New Roman" w:hAnsi="Times New Roman" w:cs="Times New Roman"/>
          <w:sz w:val="24"/>
          <w:szCs w:val="24"/>
          <w:lang w:val="ru-RU"/>
        </w:rPr>
        <w:t xml:space="preserve">в рамках отдельной юрисдикции. Банковский кризис марта 2023 года наглядно продемонстрировал критическую важность эффективно функционирующей </w:t>
      </w:r>
      <w:r w:rsidR="0078130B">
        <w:rPr>
          <w:rFonts w:ascii="Times New Roman" w:hAnsi="Times New Roman" w:cs="Times New Roman"/>
          <w:sz w:val="24"/>
          <w:szCs w:val="24"/>
          <w:lang w:val="ru-RU"/>
        </w:rPr>
        <w:t>СПФС</w:t>
      </w:r>
      <w:r w:rsidRPr="0078130B">
        <w:rPr>
          <w:rFonts w:ascii="Times New Roman" w:hAnsi="Times New Roman" w:cs="Times New Roman"/>
          <w:sz w:val="24"/>
          <w:szCs w:val="24"/>
          <w:lang w:val="ru-RU"/>
        </w:rPr>
        <w:t xml:space="preserve">, где страховщики депозитов играют ключевую роль в обеспечении стабильности. Это подчёркивает необходимость полной интеграции страховых организаций в координационные механизмы </w:t>
      </w:r>
      <w:r w:rsidR="0078130B">
        <w:rPr>
          <w:rFonts w:ascii="Times New Roman" w:hAnsi="Times New Roman" w:cs="Times New Roman"/>
          <w:sz w:val="24"/>
          <w:szCs w:val="24"/>
          <w:lang w:val="ru-RU"/>
        </w:rPr>
        <w:t>СПФС</w:t>
      </w:r>
      <w:r w:rsidRPr="0078130B">
        <w:rPr>
          <w:rFonts w:ascii="Times New Roman" w:hAnsi="Times New Roman" w:cs="Times New Roman"/>
          <w:sz w:val="24"/>
          <w:szCs w:val="24"/>
          <w:lang w:val="ru-RU"/>
        </w:rPr>
        <w:t xml:space="preserve"> на правах равноправных партнёров. В более широком контексте требует переосмысления после событий 2023 года сама концепция подготовки к кризисам: целесообразно пересмотреть цели, задачи и методологию планирования антикризисного управления с учётом полученного опыта.</w:t>
      </w:r>
    </w:p>
    <w:p w14:paraId="324378C1" w14:textId="77777777" w:rsidR="004F5DC2" w:rsidRPr="006B46C7" w:rsidRDefault="004F5DC2">
      <w:pPr>
        <w:rPr>
          <w:rFonts w:ascii="Times New Roman" w:eastAsia="Segoe UI" w:hAnsi="Times New Roman" w:cs="Times New Roman"/>
          <w:color w:val="1E2E8B"/>
          <w:lang w:val="ru-RU"/>
        </w:rPr>
      </w:pPr>
      <w:r w:rsidRPr="006B46C7">
        <w:rPr>
          <w:rFonts w:ascii="Times New Roman" w:hAnsi="Times New Roman" w:cs="Times New Roman"/>
          <w:lang w:val="ru-RU"/>
        </w:rPr>
        <w:br w:type="page"/>
      </w:r>
    </w:p>
    <w:p w14:paraId="74FD6920" w14:textId="77777777" w:rsidR="001B0301" w:rsidRPr="006B46C7" w:rsidRDefault="004D2C53">
      <w:pPr>
        <w:pStyle w:val="13"/>
        <w:keepNext/>
        <w:keepLines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8" w:name="bookmark250"/>
      <w:bookmarkStart w:id="209" w:name="bookmark251"/>
      <w:bookmarkStart w:id="210" w:name="bookmark252"/>
      <w:bookmarkStart w:id="211" w:name="bookmark249"/>
      <w:bookmarkStart w:id="212" w:name="_Toc206774073"/>
      <w:r w:rsidRPr="006B46C7">
        <w:rPr>
          <w:rFonts w:ascii="Times New Roman" w:hAnsi="Times New Roman" w:cs="Times New Roman"/>
          <w:sz w:val="24"/>
          <w:szCs w:val="24"/>
          <w:lang w:val="ru-RU"/>
        </w:rPr>
        <w:t>Библиография</w:t>
      </w:r>
      <w:bookmarkEnd w:id="208"/>
      <w:bookmarkEnd w:id="209"/>
      <w:bookmarkEnd w:id="210"/>
      <w:bookmarkEnd w:id="211"/>
      <w:bookmarkEnd w:id="212"/>
    </w:p>
    <w:p w14:paraId="38B6EC2F" w14:textId="77777777" w:rsidR="001B0301" w:rsidRPr="006B46C7" w:rsidRDefault="004D2C53">
      <w:pPr>
        <w:pStyle w:val="11"/>
        <w:spacing w:after="3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>Албанский фонд страхования вкладов. (2022). Годовой отчет за 2021 год.</w:t>
      </w:r>
    </w:p>
    <w:p w14:paraId="5C8F8EC7" w14:textId="1752DCBC" w:rsidR="001B0301" w:rsidRPr="006B46C7" w:rsidRDefault="004D2C53">
      <w:pPr>
        <w:pStyle w:val="11"/>
        <w:spacing w:after="3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Европейское банковское управление. (2021). Окончательный отчет о пересмотренном руководстве по стресс-тестам </w:t>
      </w:r>
      <w:r w:rsidR="00BF6B4B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6B4B">
        <w:rPr>
          <w:rFonts w:ascii="Times New Roman" w:hAnsi="Times New Roman" w:cs="Times New Roman"/>
          <w:sz w:val="24"/>
          <w:szCs w:val="24"/>
          <w:lang w:val="ru-RU"/>
        </w:rPr>
        <w:t>страхования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Директивой 2014/49/</w:t>
      </w:r>
      <w:r w:rsidRPr="006B46C7">
        <w:rPr>
          <w:rFonts w:ascii="Times New Roman" w:hAnsi="Times New Roman" w:cs="Times New Roman"/>
          <w:sz w:val="24"/>
          <w:szCs w:val="24"/>
        </w:rPr>
        <w:t>EU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, отменяющей и заменяющей руководство </w:t>
      </w:r>
      <w:r w:rsidRPr="006B46C7">
        <w:rPr>
          <w:rFonts w:ascii="Times New Roman" w:hAnsi="Times New Roman" w:cs="Times New Roman"/>
          <w:sz w:val="24"/>
          <w:szCs w:val="24"/>
        </w:rPr>
        <w:t>EBA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B46C7">
        <w:rPr>
          <w:rFonts w:ascii="Times New Roman" w:hAnsi="Times New Roman" w:cs="Times New Roman"/>
          <w:sz w:val="24"/>
          <w:szCs w:val="24"/>
        </w:rPr>
        <w:t>GL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/2016/04 (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Пересмотренное руководство по стресс-тестам </w:t>
      </w:r>
      <w:r w:rsidR="00BF6B4B">
        <w:rPr>
          <w:rFonts w:ascii="Times New Roman" w:hAnsi="Times New Roman" w:cs="Times New Roman"/>
          <w:sz w:val="24"/>
          <w:szCs w:val="24"/>
          <w:lang w:val="ru-RU"/>
        </w:rPr>
        <w:t>ССВ</w:t>
      </w:r>
      <w:r w:rsidR="00C55520" w:rsidRPr="006B46C7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0A6561FB" w14:textId="77777777" w:rsidR="001B0301" w:rsidRPr="006B46C7" w:rsidRDefault="004D2C53">
      <w:pPr>
        <w:pStyle w:val="11"/>
        <w:spacing w:after="3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</w:rPr>
        <w:t>FSI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. (2021). Моделирование трансграничных кризисов в Южной Америке</w:t>
      </w:r>
      <w:r w:rsidRPr="006B46C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Институт финансовой стабильности, Периодический доклад № 18,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октябрь 2021 года.</w:t>
      </w:r>
    </w:p>
    <w:p w14:paraId="6E6C8D0F" w14:textId="20F65BF2" w:rsidR="001B0301" w:rsidRPr="006B46C7" w:rsidRDefault="007E53FB">
      <w:pPr>
        <w:pStyle w:val="11"/>
        <w:spacing w:after="3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>FSI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. (2023). Моделирование трансграничного кризиса в Африке к югу от Сахары</w:t>
      </w:r>
      <w:r w:rsidR="004D2C53" w:rsidRPr="006B46C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Периодический доклад Института финансовой стабильности № 21, 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декабрь 2023 года.</w:t>
      </w:r>
    </w:p>
    <w:p w14:paraId="556C5F1A" w14:textId="6AE39CB3" w:rsidR="001B0301" w:rsidRPr="006B46C7" w:rsidRDefault="007E53FB">
      <w:pPr>
        <w:pStyle w:val="11"/>
        <w:spacing w:after="320"/>
        <w:jc w:val="both"/>
        <w:rPr>
          <w:rFonts w:ascii="Times New Roman" w:hAnsi="Times New Roman" w:cs="Times New Roman"/>
          <w:sz w:val="24"/>
          <w:szCs w:val="24"/>
        </w:rPr>
      </w:pPr>
      <w:r w:rsidRPr="006B46C7">
        <w:rPr>
          <w:rFonts w:ascii="Times New Roman" w:hAnsi="Times New Roman" w:cs="Times New Roman"/>
          <w:sz w:val="24"/>
          <w:szCs w:val="24"/>
        </w:rPr>
        <w:t>FSI</w:t>
      </w:r>
      <w:r w:rsidR="004D2C53" w:rsidRPr="006B46C7">
        <w:rPr>
          <w:rFonts w:ascii="Times New Roman" w:hAnsi="Times New Roman" w:cs="Times New Roman"/>
          <w:sz w:val="24"/>
          <w:szCs w:val="24"/>
        </w:rPr>
        <w:t>. (2024). FSI In Review 2023.</w:t>
      </w:r>
    </w:p>
    <w:p w14:paraId="39893C97" w14:textId="77777777" w:rsidR="001B0301" w:rsidRPr="006B46C7" w:rsidRDefault="004D2C53">
      <w:pPr>
        <w:pStyle w:val="11"/>
        <w:spacing w:after="320" w:line="26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</w:rPr>
        <w:t xml:space="preserve">FSI. (2024a). 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Моделирование трансграничных кризисов в странах Латинской Америки, Институт финансовой стабильности.</w:t>
      </w:r>
    </w:p>
    <w:p w14:paraId="60E64605" w14:textId="27DF0287" w:rsidR="001B0301" w:rsidRPr="006B46C7" w:rsidRDefault="00805A6E">
      <w:pPr>
        <w:pStyle w:val="11"/>
        <w:spacing w:after="3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(2014). Основополагающие принципы </w:t>
      </w:r>
      <w:r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для эффективных систем страхования </w:t>
      </w:r>
      <w:r w:rsidR="00103344" w:rsidRPr="006B46C7">
        <w:rPr>
          <w:rFonts w:ascii="Times New Roman" w:hAnsi="Times New Roman" w:cs="Times New Roman"/>
          <w:sz w:val="24"/>
          <w:szCs w:val="24"/>
          <w:lang w:val="ru-RU"/>
        </w:rPr>
        <w:t>вкладов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C130A">
        <w:rPr>
          <w:rFonts w:ascii="Times New Roman" w:hAnsi="Times New Roman" w:cs="Times New Roman"/>
          <w:sz w:val="24"/>
          <w:szCs w:val="24"/>
          <w:lang w:val="ru-RU"/>
        </w:rPr>
        <w:t>Международная ассоциация страховщиков депозитов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D190D7F" w14:textId="37FF539B" w:rsidR="001B0301" w:rsidRPr="006B46C7" w:rsidRDefault="00805A6E">
      <w:pPr>
        <w:pStyle w:val="11"/>
        <w:spacing w:after="3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(2021). Тестирование планов действий в чрезвычайных ситуациях в Северной Америке, </w:t>
      </w:r>
      <w:r w:rsidR="004D2C53" w:rsidRPr="006B46C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Региональный исследовательский документ Международной ассоциации страховщиков </w:t>
      </w:r>
      <w:r w:rsidR="004C130A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депозитов</w:t>
      </w:r>
      <w:r w:rsidR="004D2C53" w:rsidRPr="006B46C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июнь 2021 года.</w:t>
      </w:r>
    </w:p>
    <w:p w14:paraId="4527BF9E" w14:textId="4ADDFDE7" w:rsidR="001B0301" w:rsidRPr="006B46C7" w:rsidRDefault="00805A6E">
      <w:pPr>
        <w:pStyle w:val="11"/>
        <w:spacing w:after="3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. (2023). Банковские потрясения 2023 года и системы страхования вкладов: Потенциальные последствия и возникающие вопросы политики. </w:t>
      </w:r>
      <w:r w:rsidR="004C130A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Международная ассоциация страховщиков депозитов</w:t>
      </w:r>
      <w:r w:rsidR="004D2C53" w:rsidRPr="006B46C7">
        <w:rPr>
          <w:rFonts w:ascii="Times New Roman" w:hAnsi="Times New Roman" w:cs="Times New Roman"/>
          <w:i/>
          <w:iCs/>
          <w:sz w:val="24"/>
          <w:szCs w:val="24"/>
          <w:lang w:val="ru-RU"/>
        </w:rPr>
        <w:t>, декабрь 2023 года.</w:t>
      </w:r>
    </w:p>
    <w:p w14:paraId="20EEDB41" w14:textId="1315FB0D" w:rsidR="001B0301" w:rsidRPr="006B46C7" w:rsidRDefault="00805A6E">
      <w:pPr>
        <w:pStyle w:val="11"/>
        <w:spacing w:after="3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. (2023</w:t>
      </w:r>
      <w:r w:rsidR="004D2C53" w:rsidRPr="006B46C7">
        <w:rPr>
          <w:rFonts w:ascii="Times New Roman" w:hAnsi="Times New Roman" w:cs="Times New Roman"/>
          <w:sz w:val="24"/>
          <w:szCs w:val="24"/>
        </w:rPr>
        <w:t>a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). Выплата страхового возмещения вкладчикам сейчас и в будущем: Вызовы, средства защиты и тенденции. </w:t>
      </w:r>
      <w:r w:rsidR="004D2C53" w:rsidRPr="006B46C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Исследовательский документ Международной ассоциации страховщиков </w:t>
      </w:r>
      <w:r w:rsidR="004C130A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депозитов</w:t>
      </w:r>
      <w:r w:rsidR="004D2C53" w:rsidRPr="006B46C7">
        <w:rPr>
          <w:rFonts w:ascii="Times New Roman" w:hAnsi="Times New Roman" w:cs="Times New Roman"/>
          <w:i/>
          <w:iCs/>
          <w:sz w:val="24"/>
          <w:szCs w:val="24"/>
          <w:lang w:val="ru-RU"/>
        </w:rPr>
        <w:t>, июнь 2023 года.</w:t>
      </w:r>
    </w:p>
    <w:p w14:paraId="065E11B3" w14:textId="73E7DE03" w:rsidR="001B0301" w:rsidRPr="006B46C7" w:rsidRDefault="00805A6E">
      <w:pPr>
        <w:pStyle w:val="11"/>
        <w:spacing w:after="3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. (2023</w:t>
      </w:r>
      <w:r w:rsidR="004D2C53" w:rsidRPr="006B46C7">
        <w:rPr>
          <w:rFonts w:ascii="Times New Roman" w:hAnsi="Times New Roman" w:cs="Times New Roman"/>
          <w:sz w:val="24"/>
          <w:szCs w:val="24"/>
        </w:rPr>
        <w:t>b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). Тематический обзор № 2. Внешние связи. </w:t>
      </w:r>
      <w:r w:rsidR="004C130A">
        <w:rPr>
          <w:rFonts w:ascii="Times New Roman" w:hAnsi="Times New Roman" w:cs="Times New Roman"/>
          <w:sz w:val="24"/>
          <w:szCs w:val="24"/>
          <w:lang w:val="ru-RU"/>
        </w:rPr>
        <w:t>Международная ассоциация страховщиков депозитов</w:t>
      </w:r>
      <w:r w:rsidR="004D2C53" w:rsidRPr="006B46C7">
        <w:rPr>
          <w:rFonts w:ascii="Times New Roman" w:hAnsi="Times New Roman" w:cs="Times New Roman"/>
          <w:sz w:val="24"/>
          <w:szCs w:val="24"/>
          <w:lang w:val="ru-RU"/>
        </w:rPr>
        <w:t>, сентябрь 2023 г.</w:t>
      </w:r>
    </w:p>
    <w:p w14:paraId="61D9C5A2" w14:textId="77777777" w:rsidR="001B0301" w:rsidRPr="006B46C7" w:rsidRDefault="004D2C53">
      <w:pPr>
        <w:pStyle w:val="11"/>
        <w:spacing w:after="3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</w:rPr>
        <w:t xml:space="preserve">Ли, Йеджин Кэрол. </w:t>
      </w:r>
      <w:r w:rsidRPr="006B46C7">
        <w:rPr>
          <w:rFonts w:ascii="Times New Roman" w:hAnsi="Times New Roman" w:cs="Times New Roman"/>
          <w:i/>
          <w:iCs/>
          <w:sz w:val="24"/>
          <w:szCs w:val="24"/>
        </w:rPr>
        <w:t xml:space="preserve">The World Bank Crisis Simulation Exercise Handbook (English). </w:t>
      </w:r>
      <w:r w:rsidRPr="006B46C7">
        <w:rPr>
          <w:rFonts w:ascii="Times New Roman" w:hAnsi="Times New Roman" w:cs="Times New Roman"/>
          <w:sz w:val="24"/>
          <w:szCs w:val="24"/>
        </w:rPr>
        <w:t>Equitable Growth, Finance and Institutions Insight Washington, D.C.: World Bank Group.</w:t>
      </w:r>
      <w:hyperlink r:id="rId22" w:history="1"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</w:rPr>
          <w:t xml:space="preserve"> http</w:t>
        </w:r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  <w:lang w:val="ru-RU"/>
          </w:rPr>
          <w:t>://</w:t>
        </w:r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</w:rPr>
          <w:t>documents</w:t>
        </w:r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  <w:lang w:val="ru-RU"/>
          </w:rPr>
          <w:t>.</w:t>
        </w:r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</w:rPr>
          <w:t>worldbank</w:t>
        </w:r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  <w:lang w:val="ru-RU"/>
          </w:rPr>
          <w:t>.</w:t>
        </w:r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</w:rPr>
          <w:t>org</w:t>
        </w:r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  <w:lang w:val="ru-RU"/>
          </w:rPr>
          <w:t>/</w:t>
        </w:r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</w:rPr>
          <w:t>curated</w:t>
        </w:r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  <w:lang w:val="ru-RU"/>
          </w:rPr>
          <w:t>/</w:t>
        </w:r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</w:rPr>
          <w:t>en</w:t>
        </w:r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  <w:lang w:val="ru-RU"/>
          </w:rPr>
          <w:t>/099125002162330340/</w:t>
        </w:r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</w:rPr>
          <w:t>P</w:t>
        </w:r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  <w:lang w:val="ru-RU"/>
          </w:rPr>
          <w:t>1776920</w:t>
        </w:r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</w:rPr>
          <w:t>e</w:t>
        </w:r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  <w:lang w:val="ru-RU"/>
          </w:rPr>
          <w:t>37</w:t>
        </w:r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</w:rPr>
          <w:t>f</w:t>
        </w:r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  <w:lang w:val="ru-RU"/>
          </w:rPr>
          <w:t>660</w:t>
        </w:r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</w:rPr>
          <w:t>f</w:t>
        </w:r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  <w:lang w:val="ru-RU"/>
          </w:rPr>
          <w:t>70</w:t>
        </w:r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</w:rPr>
          <w:t>b</w:t>
        </w:r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  <w:lang w:val="ru-RU"/>
          </w:rPr>
          <w:t xml:space="preserve">66 </w:t>
        </w:r>
      </w:hyperlink>
      <w:hyperlink r:id="rId23" w:history="1"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  <w:lang w:val="ru-RU"/>
          </w:rPr>
          <w:t xml:space="preserve"> 40</w:t>
        </w:r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</w:rPr>
          <w:t>fe</w:t>
        </w:r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  <w:lang w:val="ru-RU"/>
          </w:rPr>
          <w:t>108468</w:t>
        </w:r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</w:rPr>
          <w:t>feb</w:t>
        </w:r>
        <w:r w:rsidRPr="006B46C7">
          <w:rPr>
            <w:rFonts w:ascii="Times New Roman" w:hAnsi="Times New Roman" w:cs="Times New Roman"/>
            <w:color w:val="0075BC"/>
            <w:sz w:val="24"/>
            <w:szCs w:val="24"/>
            <w:u w:val="single"/>
            <w:lang w:val="ru-RU"/>
          </w:rPr>
          <w:t>5</w:t>
        </w:r>
      </w:hyperlink>
      <w:r w:rsidRPr="006B46C7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7A7FCE3C" w14:textId="48234C8C" w:rsidR="001B0301" w:rsidRPr="006B46C7" w:rsidRDefault="004D2C53">
      <w:pPr>
        <w:pStyle w:val="13"/>
        <w:keepNext/>
        <w:keepLines/>
        <w:rPr>
          <w:rFonts w:ascii="Times New Roman" w:hAnsi="Times New Roman" w:cs="Times New Roman"/>
          <w:sz w:val="24"/>
          <w:szCs w:val="24"/>
          <w:lang w:val="ru-RU"/>
        </w:rPr>
      </w:pPr>
      <w:bookmarkStart w:id="213" w:name="bookmark254"/>
      <w:bookmarkStart w:id="214" w:name="bookmark255"/>
      <w:bookmarkStart w:id="215" w:name="bookmark256"/>
      <w:bookmarkStart w:id="216" w:name="bookmark253"/>
      <w:bookmarkStart w:id="217" w:name="_Toc206774074"/>
      <w:r w:rsidRPr="006B46C7">
        <w:rPr>
          <w:rFonts w:ascii="Times New Roman" w:hAnsi="Times New Roman" w:cs="Times New Roman"/>
          <w:sz w:val="24"/>
          <w:szCs w:val="24"/>
          <w:lang w:val="ru-RU"/>
        </w:rPr>
        <w:t>Приложени</w:t>
      </w:r>
      <w:r w:rsidR="007E5528" w:rsidRPr="006B46C7">
        <w:rPr>
          <w:rFonts w:ascii="Times New Roman" w:hAnsi="Times New Roman" w:cs="Times New Roman"/>
          <w:sz w:val="24"/>
          <w:szCs w:val="24"/>
          <w:lang w:val="ru-RU"/>
        </w:rPr>
        <w:t>е</w:t>
      </w:r>
      <w:bookmarkEnd w:id="213"/>
      <w:bookmarkEnd w:id="214"/>
      <w:bookmarkEnd w:id="215"/>
      <w:bookmarkEnd w:id="216"/>
      <w:bookmarkEnd w:id="217"/>
    </w:p>
    <w:p w14:paraId="1417D3B4" w14:textId="294F6B27" w:rsidR="001B0301" w:rsidRPr="006B46C7" w:rsidRDefault="004D2C53" w:rsidP="00100B81">
      <w:pPr>
        <w:pStyle w:val="11"/>
        <w:spacing w:after="0" w:line="240" w:lineRule="auto"/>
        <w:rPr>
          <w:rFonts w:ascii="Times New Roman" w:hAnsi="Times New Roman" w:cs="Times New Roman"/>
          <w:color w:val="1E2E8B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color w:val="1E2E8B"/>
          <w:sz w:val="24"/>
          <w:szCs w:val="24"/>
          <w:lang w:val="ru-RU"/>
        </w:rPr>
        <w:t xml:space="preserve">Приложение </w:t>
      </w:r>
      <w:r w:rsidRPr="006B46C7">
        <w:rPr>
          <w:rFonts w:ascii="Times New Roman" w:hAnsi="Times New Roman" w:cs="Times New Roman"/>
          <w:color w:val="1E2E8B"/>
          <w:sz w:val="24"/>
          <w:szCs w:val="24"/>
        </w:rPr>
        <w:t>A</w:t>
      </w:r>
      <w:r w:rsidRPr="006B46C7">
        <w:rPr>
          <w:rFonts w:ascii="Times New Roman" w:hAnsi="Times New Roman" w:cs="Times New Roman"/>
          <w:color w:val="1E2E8B"/>
          <w:sz w:val="24"/>
          <w:szCs w:val="24"/>
          <w:lang w:val="ru-RU"/>
        </w:rPr>
        <w:t xml:space="preserve"> - Инструмент опроса</w:t>
      </w:r>
    </w:p>
    <w:p w14:paraId="66CE7D99" w14:textId="77777777" w:rsidR="00100B81" w:rsidRPr="006B46C7" w:rsidRDefault="00100B81" w:rsidP="006B46C7">
      <w:pPr>
        <w:pStyle w:val="1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1215643" w14:textId="1150E804" w:rsidR="001B0301" w:rsidRPr="006B46C7" w:rsidRDefault="004D2C53" w:rsidP="00100B81">
      <w:pPr>
        <w:pStyle w:val="1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Доступен членам </w:t>
      </w:r>
      <w:r w:rsidR="00805A6E">
        <w:rPr>
          <w:rFonts w:ascii="Times New Roman" w:hAnsi="Times New Roman" w:cs="Times New Roman"/>
          <w:sz w:val="24"/>
          <w:szCs w:val="24"/>
          <w:lang w:val="ru-RU"/>
        </w:rPr>
        <w:t>IADI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 xml:space="preserve"> через веб-сайт </w:t>
      </w:r>
      <w:r w:rsidRPr="006B46C7">
        <w:rPr>
          <w:rFonts w:ascii="Times New Roman" w:hAnsi="Times New Roman" w:cs="Times New Roman"/>
          <w:sz w:val="24"/>
          <w:szCs w:val="24"/>
        </w:rPr>
        <w:t>eBIS</w:t>
      </w:r>
      <w:r w:rsidRPr="006B46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391433E" w14:textId="77777777" w:rsidR="00100B81" w:rsidRPr="006B46C7" w:rsidRDefault="00100B81" w:rsidP="006B46C7">
      <w:pPr>
        <w:pStyle w:val="1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6F7392F" w14:textId="6E294621" w:rsidR="001B0301" w:rsidRPr="006B46C7" w:rsidRDefault="004D2C53" w:rsidP="00100B81">
      <w:pPr>
        <w:pStyle w:val="ab"/>
        <w:ind w:left="19"/>
        <w:rPr>
          <w:rFonts w:ascii="Times New Roman" w:hAnsi="Times New Roman" w:cs="Times New Roman"/>
          <w:b w:val="0"/>
          <w:bCs w:val="0"/>
          <w:color w:val="1E2E8B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b w:val="0"/>
          <w:bCs w:val="0"/>
          <w:color w:val="1E2E8B"/>
          <w:sz w:val="24"/>
          <w:szCs w:val="24"/>
          <w:lang w:val="ru-RU"/>
        </w:rPr>
        <w:t xml:space="preserve">Приложение </w:t>
      </w:r>
      <w:r w:rsidRPr="006B46C7">
        <w:rPr>
          <w:rFonts w:ascii="Times New Roman" w:hAnsi="Times New Roman" w:cs="Times New Roman"/>
          <w:b w:val="0"/>
          <w:bCs w:val="0"/>
          <w:color w:val="1E2E8B"/>
          <w:sz w:val="24"/>
          <w:szCs w:val="24"/>
        </w:rPr>
        <w:t>B</w:t>
      </w:r>
      <w:r w:rsidRPr="006B46C7">
        <w:rPr>
          <w:rFonts w:ascii="Times New Roman" w:hAnsi="Times New Roman" w:cs="Times New Roman"/>
          <w:b w:val="0"/>
          <w:bCs w:val="0"/>
          <w:color w:val="1E2E8B"/>
          <w:sz w:val="24"/>
          <w:szCs w:val="24"/>
          <w:lang w:val="ru-RU"/>
        </w:rPr>
        <w:t xml:space="preserve"> - Список респондентов, принявших участие в опросе</w:t>
      </w:r>
    </w:p>
    <w:p w14:paraId="40744751" w14:textId="77777777" w:rsidR="00100B81" w:rsidRPr="006B46C7" w:rsidRDefault="00100B81" w:rsidP="00100B81">
      <w:pPr>
        <w:pStyle w:val="ab"/>
        <w:ind w:left="19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2319"/>
        <w:gridCol w:w="6167"/>
      </w:tblGrid>
      <w:tr w:rsidR="001B0301" w:rsidRPr="00B6286F" w14:paraId="05185EAF" w14:textId="77777777" w:rsidTr="006B46C7">
        <w:trPr>
          <w:trHeight w:hRule="exact" w:val="394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5988D4" w14:textId="31685924" w:rsidR="001B0301" w:rsidRPr="006B46C7" w:rsidRDefault="00100B81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color w:val="1E2E8B"/>
                <w:sz w:val="24"/>
                <w:szCs w:val="24"/>
                <w:lang w:val="ru-RU"/>
              </w:rPr>
              <w:t>№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E3152B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color w:val="1E2E8B"/>
                <w:sz w:val="24"/>
                <w:szCs w:val="24"/>
              </w:rPr>
              <w:t>Юрисдикция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AFD8AE" w14:textId="0B30877C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color w:val="1E2E8B"/>
                <w:sz w:val="24"/>
                <w:szCs w:val="24"/>
              </w:rPr>
              <w:t xml:space="preserve">Название страховщика </w:t>
            </w:r>
            <w:r w:rsidR="00103344" w:rsidRPr="006B46C7">
              <w:rPr>
                <w:rFonts w:ascii="Times New Roman" w:hAnsi="Times New Roman" w:cs="Times New Roman"/>
                <w:color w:val="1E2E8B"/>
                <w:sz w:val="24"/>
                <w:szCs w:val="24"/>
              </w:rPr>
              <w:t>вкладов</w:t>
            </w:r>
          </w:p>
        </w:tc>
      </w:tr>
      <w:tr w:rsidR="001B0301" w:rsidRPr="00B6286F" w14:paraId="469F86F2" w14:textId="77777777" w:rsidTr="006B46C7">
        <w:trPr>
          <w:trHeight w:hRule="exact" w:val="413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F52064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E8545F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Азербайджан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9BB9E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Азербайджанский фонд страхования вкладов</w:t>
            </w:r>
          </w:p>
        </w:tc>
      </w:tr>
      <w:tr w:rsidR="001B0301" w:rsidRPr="00B6286F" w14:paraId="5551FCDC" w14:textId="77777777" w:rsidTr="006B46C7">
        <w:trPr>
          <w:trHeight w:hRule="exact" w:val="418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08D6FD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CA962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Бразилия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B1001" w14:textId="4A4F31BC" w:rsidR="001B0301" w:rsidRPr="00BF6B4B" w:rsidRDefault="004D2C53" w:rsidP="00BF6B4B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 xml:space="preserve">Фонд гарантирования </w:t>
            </w:r>
            <w:r w:rsidR="00BF6B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вкладов</w:t>
            </w:r>
          </w:p>
        </w:tc>
      </w:tr>
      <w:tr w:rsidR="001B0301" w:rsidRPr="006B46C7" w14:paraId="2525ED47" w14:textId="77777777" w:rsidTr="006B46C7">
        <w:trPr>
          <w:trHeight w:hRule="exact" w:val="505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5E5F8F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4D068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Канада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3C0F5C" w14:textId="7866D385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Канадская корпорация</w:t>
            </w:r>
            <w:r w:rsidR="007E5528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страхованию</w:t>
            </w: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03344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вкладов</w:t>
            </w: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0B54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CDIC</w:t>
            </w: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1B0301" w:rsidRPr="006B46C7" w14:paraId="4F95418E" w14:textId="77777777" w:rsidTr="006B46C7">
        <w:trPr>
          <w:trHeight w:hRule="exact" w:val="418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0C80C1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B43C49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Канада (Квебек)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79A3FF" w14:textId="301A2DF5" w:rsidR="001B0301" w:rsidRPr="006B46C7" w:rsidRDefault="007E5528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по финансовым рынкам</w:t>
            </w:r>
            <w:r w:rsidR="004D2C53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0B54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AMF</w:t>
            </w:r>
            <w:r w:rsidR="004D2C53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1B0301" w:rsidRPr="006B46C7" w14:paraId="39934926" w14:textId="77777777" w:rsidTr="006B46C7">
        <w:trPr>
          <w:trHeight w:hRule="exact" w:val="379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C00CF36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1A104D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Колумбия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030F7" w14:textId="77777777" w:rsidR="001B0301" w:rsidRPr="006B46C7" w:rsidRDefault="004D2C53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гарантий финансовых институтов (</w:t>
            </w: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FOGAFIN</w:t>
            </w: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1B0301" w:rsidRPr="006B46C7" w14:paraId="09FABE20" w14:textId="77777777" w:rsidTr="006B46C7">
        <w:trPr>
          <w:trHeight w:hRule="exact" w:val="418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26A1357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4D6F6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Эквадор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67537E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Корпорация по страхованию вкладов (</w:t>
            </w: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COSEDE</w:t>
            </w: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1B0301" w:rsidRPr="00B6286F" w14:paraId="758086E9" w14:textId="77777777" w:rsidTr="006B46C7">
        <w:trPr>
          <w:trHeight w:hRule="exact" w:val="418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35C91B0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4DF264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Финляндия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8BE11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Финское управление финансовой стабильности</w:t>
            </w:r>
          </w:p>
        </w:tc>
      </w:tr>
      <w:tr w:rsidR="001B0301" w:rsidRPr="00B6286F" w14:paraId="55F68953" w14:textId="77777777" w:rsidTr="006B46C7">
        <w:trPr>
          <w:trHeight w:hRule="exact" w:val="413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EC498B2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22CED7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Ямайка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5D057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Ямайская корпорация страхования вкладов</w:t>
            </w:r>
          </w:p>
        </w:tc>
      </w:tr>
      <w:tr w:rsidR="001B0301" w:rsidRPr="00B6286F" w14:paraId="5DB3F475" w14:textId="77777777" w:rsidTr="006B46C7">
        <w:trPr>
          <w:trHeight w:hRule="exact" w:val="418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FF0852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EF2374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Корея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0081C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Корейская корпорация страхования вкладов</w:t>
            </w:r>
          </w:p>
        </w:tc>
      </w:tr>
      <w:tr w:rsidR="001B0301" w:rsidRPr="006B46C7" w14:paraId="7910C682" w14:textId="77777777" w:rsidTr="006B46C7">
        <w:trPr>
          <w:trHeight w:hRule="exact" w:val="542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B627FC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28D592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Малайзия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638E1" w14:textId="7F775C7D" w:rsidR="001B0301" w:rsidRPr="006B46C7" w:rsidRDefault="00103344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Малазийская корпорация по страхованию вкладов</w:t>
            </w:r>
            <w:r w:rsidR="004D2C53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0B54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CMD</w:t>
            </w:r>
            <w:r w:rsidR="004D2C53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1B0301" w:rsidRPr="006B46C7" w14:paraId="6020A7C4" w14:textId="77777777" w:rsidTr="006B46C7">
        <w:trPr>
          <w:trHeight w:hRule="exact" w:val="739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9C60F7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0A165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Мексика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7C8C56" w14:textId="4F4924AA" w:rsidR="001B0301" w:rsidRPr="006B46C7" w:rsidRDefault="004D2C53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Институт защиты банковских вкладов (</w:t>
            </w:r>
            <w:r w:rsidR="00805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IPAB</w:t>
            </w: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1B0301" w:rsidRPr="00B6286F" w14:paraId="70CDA02A" w14:textId="77777777" w:rsidTr="006B46C7">
        <w:trPr>
          <w:trHeight w:hRule="exact" w:val="418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D0F2F4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551EE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Марокко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2508C0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Марокканская корпорация страхования вкладов</w:t>
            </w:r>
          </w:p>
        </w:tc>
      </w:tr>
      <w:tr w:rsidR="001B0301" w:rsidRPr="00B6286F" w14:paraId="2AAE86CA" w14:textId="77777777" w:rsidTr="006B46C7">
        <w:trPr>
          <w:trHeight w:hRule="exact" w:val="418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86531C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2F29B9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Пакистан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05BCD" w14:textId="6A8C316A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 xml:space="preserve">Корпорация по защите </w:t>
            </w:r>
            <w:r w:rsidR="00103344" w:rsidRPr="006B46C7">
              <w:rPr>
                <w:rFonts w:ascii="Times New Roman" w:hAnsi="Times New Roman" w:cs="Times New Roman"/>
                <w:sz w:val="24"/>
                <w:szCs w:val="24"/>
              </w:rPr>
              <w:t>вкладов</w:t>
            </w:r>
          </w:p>
        </w:tc>
      </w:tr>
      <w:tr w:rsidR="001B0301" w:rsidRPr="00B6286F" w14:paraId="63636062" w14:textId="77777777" w:rsidTr="006B46C7">
        <w:trPr>
          <w:trHeight w:hRule="exact" w:val="418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75B985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5AD765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Палестина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5FA62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Палестинская корпорация страхования вкладов</w:t>
            </w:r>
          </w:p>
        </w:tc>
      </w:tr>
      <w:tr w:rsidR="001B0301" w:rsidRPr="00B6286F" w14:paraId="3256D32D" w14:textId="77777777" w:rsidTr="006B46C7">
        <w:trPr>
          <w:trHeight w:hRule="exact" w:val="413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675872F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01262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Таиланд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DFA43" w14:textId="1F50919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 xml:space="preserve">Корпорация по защите </w:t>
            </w:r>
            <w:r w:rsidR="00103344" w:rsidRPr="006B46C7">
              <w:rPr>
                <w:rFonts w:ascii="Times New Roman" w:hAnsi="Times New Roman" w:cs="Times New Roman"/>
                <w:sz w:val="24"/>
                <w:szCs w:val="24"/>
              </w:rPr>
              <w:t>вкладов</w:t>
            </w:r>
          </w:p>
        </w:tc>
      </w:tr>
      <w:tr w:rsidR="001B0301" w:rsidRPr="006B46C7" w14:paraId="4E51200E" w14:textId="77777777" w:rsidTr="006B46C7">
        <w:trPr>
          <w:trHeight w:hRule="exact" w:val="739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F04255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DA0AD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Уругвай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9F8F8" w14:textId="77777777" w:rsidR="001B0301" w:rsidRPr="006B46C7" w:rsidRDefault="004D2C53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Корпорация по защите банковских вкладов (</w:t>
            </w: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COPAB</w:t>
            </w: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1B0301" w:rsidRPr="006B46C7" w14:paraId="7CB78B1C" w14:textId="77777777" w:rsidTr="006B46C7">
        <w:trPr>
          <w:trHeight w:hRule="exact" w:val="739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9478A63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94AE83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Западноафриканский валютный союз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F7BA6C" w14:textId="77777777" w:rsidR="001B0301" w:rsidRPr="006B46C7" w:rsidRDefault="004D2C53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страхования вкладов Западноафриканского валютного союза</w:t>
            </w:r>
          </w:p>
        </w:tc>
      </w:tr>
      <w:tr w:rsidR="001B0301" w:rsidRPr="006B46C7" w14:paraId="6FF1C680" w14:textId="77777777" w:rsidTr="006B46C7">
        <w:trPr>
          <w:trHeight w:hRule="exact" w:val="653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60B51F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13B28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Соединенные Штаты Америки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173FA7" w14:textId="07AEC5BC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Федеральная корпорация </w:t>
            </w:r>
            <w:r w:rsidR="007E5528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страховани</w:t>
            </w:r>
            <w:r w:rsidR="007E5528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03344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вкладов</w:t>
            </w: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805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FDIC</w:t>
            </w: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1B0301" w:rsidRPr="006B46C7" w14:paraId="114CB460" w14:textId="77777777" w:rsidTr="006B46C7">
        <w:trPr>
          <w:trHeight w:hRule="exact" w:val="719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591EBA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FC93B8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Филиппины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BBE4FE" w14:textId="2116A9E5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Филиппинская корпорация</w:t>
            </w:r>
            <w:r w:rsidR="007E5528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</w:t>
            </w: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страховани</w:t>
            </w:r>
            <w:r w:rsidR="007E5528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вкладов</w:t>
            </w:r>
          </w:p>
        </w:tc>
      </w:tr>
      <w:tr w:rsidR="001B0301" w:rsidRPr="006B46C7" w14:paraId="4CEBD18E" w14:textId="77777777" w:rsidTr="006B46C7">
        <w:trPr>
          <w:trHeight w:hRule="exact" w:val="418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B08105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274DB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Монголия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9DFD0" w14:textId="46030D05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Корпорация </w:t>
            </w:r>
            <w:r w:rsidR="007E5528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страхованию </w:t>
            </w:r>
            <w:r w:rsidR="00103344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вкладов</w:t>
            </w: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Монголии</w:t>
            </w:r>
          </w:p>
        </w:tc>
      </w:tr>
      <w:tr w:rsidR="001B0301" w:rsidRPr="00B6286F" w14:paraId="1751C632" w14:textId="77777777" w:rsidTr="006B46C7">
        <w:trPr>
          <w:trHeight w:hRule="exact" w:val="427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D307C3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DD7FC8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Нидерланды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7C017D" w14:textId="1EC48662" w:rsidR="001B0301" w:rsidRPr="006B46C7" w:rsidRDefault="007E5528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Нидерландский банк</w:t>
            </w:r>
          </w:p>
        </w:tc>
      </w:tr>
    </w:tbl>
    <w:p w14:paraId="372D1EF7" w14:textId="77777777" w:rsidR="001B0301" w:rsidRPr="006B46C7" w:rsidRDefault="004D2C53">
      <w:pPr>
        <w:spacing w:line="1" w:lineRule="exact"/>
        <w:rPr>
          <w:rFonts w:ascii="Times New Roman" w:hAnsi="Times New Roman" w:cs="Times New Roman"/>
        </w:rPr>
      </w:pPr>
      <w:r w:rsidRPr="006B46C7">
        <w:rPr>
          <w:rFonts w:ascii="Times New Roman" w:hAnsi="Times New Roman" w:cs="Times New Roman"/>
        </w:rPr>
        <w:br w:type="page"/>
      </w:r>
    </w:p>
    <w:p w14:paraId="5909C96A" w14:textId="768DFAAE" w:rsidR="001B0301" w:rsidRPr="006B46C7" w:rsidRDefault="004D2C53">
      <w:pPr>
        <w:pStyle w:val="ab"/>
        <w:ind w:left="19"/>
        <w:rPr>
          <w:rFonts w:ascii="Times New Roman" w:hAnsi="Times New Roman" w:cs="Times New Roman"/>
          <w:b w:val="0"/>
          <w:bCs w:val="0"/>
          <w:color w:val="1E2E8B"/>
          <w:sz w:val="24"/>
          <w:szCs w:val="24"/>
          <w:lang w:val="ru-RU"/>
        </w:rPr>
      </w:pPr>
      <w:r w:rsidRPr="006B46C7">
        <w:rPr>
          <w:rFonts w:ascii="Times New Roman" w:hAnsi="Times New Roman" w:cs="Times New Roman"/>
          <w:b w:val="0"/>
          <w:bCs w:val="0"/>
          <w:color w:val="1E2E8B"/>
          <w:sz w:val="24"/>
          <w:szCs w:val="24"/>
          <w:lang w:val="ru-RU"/>
        </w:rPr>
        <w:t xml:space="preserve">Приложение </w:t>
      </w:r>
      <w:r w:rsidRPr="006B46C7">
        <w:rPr>
          <w:rFonts w:ascii="Times New Roman" w:hAnsi="Times New Roman" w:cs="Times New Roman"/>
          <w:b w:val="0"/>
          <w:bCs w:val="0"/>
          <w:color w:val="1E2E8B"/>
          <w:sz w:val="24"/>
          <w:szCs w:val="24"/>
        </w:rPr>
        <w:t>C</w:t>
      </w:r>
      <w:r w:rsidRPr="006B46C7">
        <w:rPr>
          <w:rFonts w:ascii="Times New Roman" w:hAnsi="Times New Roman" w:cs="Times New Roman"/>
          <w:b w:val="0"/>
          <w:bCs w:val="0"/>
          <w:color w:val="1E2E8B"/>
          <w:sz w:val="24"/>
          <w:szCs w:val="24"/>
          <w:lang w:val="ru-RU"/>
        </w:rPr>
        <w:t xml:space="preserve"> - Члены Технической рабочей группы</w:t>
      </w:r>
    </w:p>
    <w:p w14:paraId="3FD6DB86" w14:textId="77777777" w:rsidR="00100B81" w:rsidRPr="006B46C7" w:rsidRDefault="00100B81">
      <w:pPr>
        <w:pStyle w:val="ab"/>
        <w:ind w:left="19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3312"/>
        <w:gridCol w:w="5174"/>
      </w:tblGrid>
      <w:tr w:rsidR="001B0301" w:rsidRPr="00B6286F" w14:paraId="2F3E55AD" w14:textId="77777777">
        <w:trPr>
          <w:trHeight w:hRule="exact" w:val="394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780BF9F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color w:val="1E2E8B"/>
                <w:sz w:val="24"/>
                <w:szCs w:val="24"/>
              </w:rPr>
              <w:t>№.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4427FA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color w:val="1E2E8B"/>
                <w:sz w:val="24"/>
                <w:szCs w:val="24"/>
              </w:rPr>
              <w:t>Юрисдикция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E8D45" w14:textId="7464174B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color w:val="1E2E8B"/>
                <w:sz w:val="24"/>
                <w:szCs w:val="24"/>
              </w:rPr>
              <w:t xml:space="preserve">Название страховщика </w:t>
            </w:r>
            <w:r w:rsidR="00103344" w:rsidRPr="006B46C7">
              <w:rPr>
                <w:rFonts w:ascii="Times New Roman" w:hAnsi="Times New Roman" w:cs="Times New Roman"/>
                <w:color w:val="1E2E8B"/>
                <w:sz w:val="24"/>
                <w:szCs w:val="24"/>
              </w:rPr>
              <w:t>вкладов</w:t>
            </w:r>
          </w:p>
        </w:tc>
      </w:tr>
      <w:tr w:rsidR="001B0301" w:rsidRPr="006B46C7" w14:paraId="4241F77A" w14:textId="77777777">
        <w:trPr>
          <w:trHeight w:hRule="exact" w:val="413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699DE0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A4D8D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Джоанна Хуриати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DDF663" w14:textId="7BC20E93" w:rsidR="001B0301" w:rsidRPr="006B46C7" w:rsidRDefault="005C6019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Канадская корпорация по страхованию вкладов</w:t>
            </w:r>
          </w:p>
        </w:tc>
      </w:tr>
      <w:tr w:rsidR="001B0301" w:rsidRPr="006B46C7" w14:paraId="0557A1CB" w14:textId="77777777">
        <w:trPr>
          <w:trHeight w:hRule="exact" w:val="418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7BFD00B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9D3634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Карл-Эмиль Шарпантье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51446" w14:textId="5EB611B1" w:rsidR="001B0301" w:rsidRPr="006B46C7" w:rsidRDefault="005C6019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Канадская корпорация по страхованию вкладов</w:t>
            </w:r>
          </w:p>
        </w:tc>
      </w:tr>
      <w:tr w:rsidR="001B0301" w:rsidRPr="006B46C7" w14:paraId="06B4A68B" w14:textId="77777777">
        <w:trPr>
          <w:trHeight w:hRule="exact" w:val="418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E68CA4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E2347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Райан Мельник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C415F" w14:textId="09D1898C" w:rsidR="001B0301" w:rsidRPr="006B46C7" w:rsidRDefault="005C6019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Канадская корпорация по страхованию вкладов</w:t>
            </w:r>
          </w:p>
        </w:tc>
      </w:tr>
      <w:tr w:rsidR="001B0301" w:rsidRPr="006B46C7" w14:paraId="68D41526" w14:textId="77777777">
        <w:trPr>
          <w:trHeight w:hRule="exact" w:val="418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65CB7B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3C153B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Хлоя Яо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0779AE" w14:textId="469675F5" w:rsidR="001B0301" w:rsidRPr="006B46C7" w:rsidRDefault="005C6019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Канадская корпорация по страхованию вкладов</w:t>
            </w:r>
          </w:p>
        </w:tc>
      </w:tr>
      <w:tr w:rsidR="001B0301" w:rsidRPr="006B46C7" w14:paraId="212D282C" w14:textId="77777777">
        <w:trPr>
          <w:trHeight w:hRule="exact" w:val="418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B3C4645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09B62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Бадр Бархуми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5E209" w14:textId="15381764" w:rsidR="001B0301" w:rsidRPr="006B46C7" w:rsidRDefault="005C6019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Канадская корпорация по страхованию вкладов</w:t>
            </w:r>
          </w:p>
        </w:tc>
      </w:tr>
      <w:tr w:rsidR="001B0301" w:rsidRPr="006B46C7" w14:paraId="7E17C5A4" w14:textId="77777777">
        <w:trPr>
          <w:trHeight w:hRule="exact" w:val="418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6ADC9A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DD7C4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Надин Сариеддин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6B292E" w14:textId="4C89A360" w:rsidR="001B0301" w:rsidRPr="006B46C7" w:rsidRDefault="005C6019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Канадская корпорация по страхованию вкладов</w:t>
            </w:r>
          </w:p>
        </w:tc>
      </w:tr>
      <w:tr w:rsidR="001B0301" w:rsidRPr="00B6286F" w14:paraId="3AB6A277" w14:textId="77777777">
        <w:trPr>
          <w:trHeight w:hRule="exact" w:val="413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060F0C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7C43E9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Томаш Обаль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460190" w14:textId="574D83D3" w:rsidR="001B0301" w:rsidRPr="006B46C7" w:rsidRDefault="005C6019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Банковский гарантийный фонд</w:t>
            </w:r>
          </w:p>
        </w:tc>
      </w:tr>
      <w:tr w:rsidR="001B0301" w:rsidRPr="006B46C7" w14:paraId="2C84092D" w14:textId="77777777" w:rsidTr="006B46C7">
        <w:trPr>
          <w:trHeight w:hRule="exact" w:val="661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838F11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143EDD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Белло Хассан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BC8D43" w14:textId="15BE710E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Нигерийская корпорация</w:t>
            </w:r>
            <w:r w:rsidR="005C6019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</w:t>
            </w: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страховани</w:t>
            </w:r>
            <w:r w:rsidR="005C6019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03344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вкладов</w:t>
            </w:r>
          </w:p>
        </w:tc>
      </w:tr>
      <w:tr w:rsidR="001B0301" w:rsidRPr="00B6286F" w14:paraId="42ED03CE" w14:textId="77777777">
        <w:trPr>
          <w:trHeight w:hRule="exact" w:val="418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060C1E9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FBFB2E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Ева Бюрер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E0175C" w14:textId="2149DBE6" w:rsidR="001B0301" w:rsidRPr="006B46C7" w:rsidRDefault="00105955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D2C53" w:rsidRPr="006B46C7">
              <w:rPr>
                <w:rFonts w:ascii="Times New Roman" w:hAnsi="Times New Roman" w:cs="Times New Roman"/>
                <w:sz w:val="24"/>
                <w:szCs w:val="24"/>
              </w:rPr>
              <w:t>дерландский банк</w:t>
            </w:r>
          </w:p>
        </w:tc>
      </w:tr>
      <w:tr w:rsidR="001B0301" w:rsidRPr="006B46C7" w14:paraId="3A7B19B4" w14:textId="77777777" w:rsidTr="006B46C7">
        <w:trPr>
          <w:trHeight w:hRule="exact" w:val="705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9B7D872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F74264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Гало Севальос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BAB9E9" w14:textId="1B934870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Федеральная корпорация </w:t>
            </w:r>
            <w:r w:rsidR="005C6019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страховани</w:t>
            </w:r>
            <w:r w:rsidR="005C6019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03344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вкладов</w:t>
            </w:r>
          </w:p>
        </w:tc>
      </w:tr>
      <w:tr w:rsidR="001B0301" w:rsidRPr="006B46C7" w14:paraId="0C10F1CE" w14:textId="77777777" w:rsidTr="006B46C7">
        <w:trPr>
          <w:trHeight w:hRule="exact" w:val="715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F95E430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FB817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Шеррианн Шоу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61C19" w14:textId="7C4EAA4E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Федеральная корпорация</w:t>
            </w:r>
            <w:r w:rsidR="005C6019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</w:t>
            </w: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страховани</w:t>
            </w:r>
            <w:r w:rsidR="005C6019"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вкладов</w:t>
            </w:r>
          </w:p>
        </w:tc>
      </w:tr>
      <w:tr w:rsidR="001B0301" w:rsidRPr="006B46C7" w14:paraId="75B0A144" w14:textId="77777777" w:rsidTr="006B46C7">
        <w:trPr>
          <w:trHeight w:hRule="exact" w:val="570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193618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3CEA6B" w14:textId="77777777" w:rsidR="001B0301" w:rsidRPr="006B46C7" w:rsidRDefault="004D2C53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</w:rPr>
              <w:t>Ли У Мен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F9F174" w14:textId="31B2D5EA" w:rsidR="001B0301" w:rsidRPr="006B46C7" w:rsidRDefault="00103344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Малазийская корпорация по страхованию вкладов</w:t>
            </w:r>
          </w:p>
        </w:tc>
      </w:tr>
    </w:tbl>
    <w:p w14:paraId="14279B67" w14:textId="77777777" w:rsidR="001B0301" w:rsidRPr="006B46C7" w:rsidRDefault="001B0301">
      <w:pPr>
        <w:rPr>
          <w:rFonts w:ascii="Times New Roman" w:hAnsi="Times New Roman" w:cs="Times New Roman"/>
          <w:lang w:val="ru-RU"/>
        </w:rPr>
        <w:sectPr w:rsidR="001B0301" w:rsidRPr="006B46C7">
          <w:pgSz w:w="12240" w:h="15840"/>
          <w:pgMar w:top="876" w:right="1551" w:bottom="1462" w:left="1545" w:header="0" w:footer="3" w:gutter="0"/>
          <w:cols w:space="720"/>
          <w:noEndnote/>
          <w:docGrid w:linePitch="360"/>
          <w15:footnoteColumns w:val="1"/>
        </w:sectPr>
      </w:pPr>
    </w:p>
    <w:p w14:paraId="4E816EE5" w14:textId="77777777" w:rsidR="001B0301" w:rsidRPr="006B46C7" w:rsidRDefault="001B0301">
      <w:pPr>
        <w:spacing w:line="240" w:lineRule="exact"/>
        <w:rPr>
          <w:rFonts w:ascii="Times New Roman" w:hAnsi="Times New Roman" w:cs="Times New Roman"/>
          <w:lang w:val="ru-RU"/>
        </w:rPr>
      </w:pPr>
    </w:p>
    <w:p w14:paraId="56883509" w14:textId="77777777" w:rsidR="001B0301" w:rsidRPr="006B46C7" w:rsidRDefault="001B0301">
      <w:pPr>
        <w:spacing w:line="240" w:lineRule="exact"/>
        <w:rPr>
          <w:rFonts w:ascii="Times New Roman" w:hAnsi="Times New Roman" w:cs="Times New Roman"/>
          <w:lang w:val="ru-RU"/>
        </w:rPr>
      </w:pPr>
    </w:p>
    <w:p w14:paraId="42677F0C" w14:textId="77777777" w:rsidR="001B0301" w:rsidRPr="006B46C7" w:rsidRDefault="001B0301">
      <w:pPr>
        <w:spacing w:line="240" w:lineRule="exact"/>
        <w:rPr>
          <w:rFonts w:ascii="Times New Roman" w:hAnsi="Times New Roman" w:cs="Times New Roman"/>
          <w:lang w:val="ru-RU"/>
        </w:rPr>
      </w:pPr>
    </w:p>
    <w:p w14:paraId="1781D4F7" w14:textId="77777777" w:rsidR="001B0301" w:rsidRPr="006B46C7" w:rsidRDefault="001B0301">
      <w:pPr>
        <w:spacing w:line="240" w:lineRule="exact"/>
        <w:rPr>
          <w:rFonts w:ascii="Times New Roman" w:hAnsi="Times New Roman" w:cs="Times New Roman"/>
          <w:lang w:val="ru-RU"/>
        </w:rPr>
      </w:pPr>
    </w:p>
    <w:p w14:paraId="6AD3C6E5" w14:textId="77777777" w:rsidR="001B0301" w:rsidRPr="006B46C7" w:rsidRDefault="001B0301">
      <w:pPr>
        <w:spacing w:line="240" w:lineRule="exact"/>
        <w:rPr>
          <w:rFonts w:ascii="Times New Roman" w:hAnsi="Times New Roman" w:cs="Times New Roman"/>
          <w:lang w:val="ru-RU"/>
        </w:rPr>
      </w:pPr>
    </w:p>
    <w:p w14:paraId="59821DC0" w14:textId="77777777" w:rsidR="001B0301" w:rsidRPr="006B46C7" w:rsidRDefault="001B0301">
      <w:pPr>
        <w:spacing w:line="240" w:lineRule="exact"/>
        <w:rPr>
          <w:rFonts w:ascii="Times New Roman" w:hAnsi="Times New Roman" w:cs="Times New Roman"/>
          <w:lang w:val="ru-RU"/>
        </w:rPr>
      </w:pPr>
    </w:p>
    <w:p w14:paraId="6FBC3194" w14:textId="77777777" w:rsidR="001B0301" w:rsidRPr="006B46C7" w:rsidRDefault="001B0301">
      <w:pPr>
        <w:spacing w:line="240" w:lineRule="exact"/>
        <w:rPr>
          <w:rFonts w:ascii="Times New Roman" w:hAnsi="Times New Roman" w:cs="Times New Roman"/>
          <w:lang w:val="ru-RU"/>
        </w:rPr>
      </w:pPr>
    </w:p>
    <w:p w14:paraId="21C6EB03" w14:textId="77777777" w:rsidR="001B0301" w:rsidRPr="006B46C7" w:rsidRDefault="001B0301">
      <w:pPr>
        <w:spacing w:line="240" w:lineRule="exact"/>
        <w:rPr>
          <w:rFonts w:ascii="Times New Roman" w:hAnsi="Times New Roman" w:cs="Times New Roman"/>
          <w:lang w:val="ru-RU"/>
        </w:rPr>
      </w:pPr>
    </w:p>
    <w:p w14:paraId="67328976" w14:textId="77777777" w:rsidR="001B0301" w:rsidRPr="006B46C7" w:rsidRDefault="001B0301">
      <w:pPr>
        <w:spacing w:line="240" w:lineRule="exact"/>
        <w:rPr>
          <w:rFonts w:ascii="Times New Roman" w:hAnsi="Times New Roman" w:cs="Times New Roman"/>
          <w:lang w:val="ru-RU"/>
        </w:rPr>
      </w:pPr>
    </w:p>
    <w:p w14:paraId="18D056A0" w14:textId="77777777" w:rsidR="001B0301" w:rsidRPr="006B46C7" w:rsidRDefault="001B0301">
      <w:pPr>
        <w:spacing w:line="240" w:lineRule="exact"/>
        <w:rPr>
          <w:rFonts w:ascii="Times New Roman" w:hAnsi="Times New Roman" w:cs="Times New Roman"/>
          <w:lang w:val="ru-RU"/>
        </w:rPr>
      </w:pPr>
    </w:p>
    <w:p w14:paraId="0B97FB0A" w14:textId="77777777" w:rsidR="001B0301" w:rsidRPr="006B46C7" w:rsidRDefault="001B0301">
      <w:pPr>
        <w:spacing w:line="240" w:lineRule="exact"/>
        <w:rPr>
          <w:rFonts w:ascii="Times New Roman" w:hAnsi="Times New Roman" w:cs="Times New Roman"/>
          <w:lang w:val="ru-RU"/>
        </w:rPr>
      </w:pPr>
    </w:p>
    <w:p w14:paraId="608669F9" w14:textId="77777777" w:rsidR="001B0301" w:rsidRPr="006B46C7" w:rsidRDefault="001B0301">
      <w:pPr>
        <w:spacing w:before="109" w:after="109" w:line="240" w:lineRule="exact"/>
        <w:rPr>
          <w:rFonts w:ascii="Times New Roman" w:hAnsi="Times New Roman" w:cs="Times New Roman"/>
          <w:lang w:val="ru-RU"/>
        </w:rPr>
      </w:pPr>
    </w:p>
    <w:p w14:paraId="1F9C7044" w14:textId="77777777" w:rsidR="001B0301" w:rsidRPr="006B46C7" w:rsidRDefault="001B0301">
      <w:pPr>
        <w:spacing w:line="1" w:lineRule="exact"/>
        <w:rPr>
          <w:rFonts w:ascii="Times New Roman" w:hAnsi="Times New Roman" w:cs="Times New Roman"/>
          <w:lang w:val="ru-RU"/>
        </w:rPr>
        <w:sectPr w:rsidR="001B0301" w:rsidRPr="006B46C7">
          <w:headerReference w:type="default" r:id="rId24"/>
          <w:footerReference w:type="default" r:id="rId25"/>
          <w:footnotePr>
            <w:numStart w:val="3"/>
          </w:footnotePr>
          <w:pgSz w:w="12240" w:h="15840"/>
          <w:pgMar w:top="555" w:right="166" w:bottom="394" w:left="166" w:header="0" w:footer="3" w:gutter="0"/>
          <w:cols w:space="720"/>
          <w:noEndnote/>
          <w:docGrid w:linePitch="360"/>
          <w15:footnoteColumns w:val="1"/>
        </w:sectPr>
      </w:pPr>
    </w:p>
    <w:p w14:paraId="3CD3EB70" w14:textId="77777777" w:rsidR="001B0301" w:rsidRPr="006B46C7" w:rsidRDefault="004D2C53">
      <w:pPr>
        <w:spacing w:line="360" w:lineRule="exact"/>
        <w:rPr>
          <w:rFonts w:ascii="Times New Roman" w:hAnsi="Times New Roman" w:cs="Times New Roman"/>
        </w:rPr>
      </w:pPr>
      <w:r w:rsidRPr="006B46C7">
        <w:rPr>
          <w:rFonts w:ascii="Times New Roman" w:hAnsi="Times New Roman" w:cs="Times New Roman"/>
          <w:noProof/>
          <w:lang w:val="ru-RU" w:eastAsia="ru-RU" w:bidi="ar-SA"/>
        </w:rPr>
        <w:drawing>
          <wp:anchor distT="0" distB="0" distL="0" distR="0" simplePos="0" relativeHeight="62914697" behindDoc="1" locked="0" layoutInCell="1" allowOverlap="1" wp14:anchorId="1A73E0DC" wp14:editId="6A861FDA">
            <wp:simplePos x="0" y="0"/>
            <wp:positionH relativeFrom="page">
              <wp:posOffset>105410</wp:posOffset>
            </wp:positionH>
            <wp:positionV relativeFrom="paragraph">
              <wp:posOffset>12700</wp:posOffset>
            </wp:positionV>
            <wp:extent cx="7565390" cy="5047615"/>
            <wp:effectExtent l="0" t="0" r="0" b="0"/>
            <wp:wrapNone/>
            <wp:docPr id="46" name="Shap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box 47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7565390" cy="504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FC014E" w14:textId="77777777" w:rsidR="001B0301" w:rsidRPr="006B46C7" w:rsidRDefault="001B0301">
      <w:pPr>
        <w:spacing w:line="360" w:lineRule="exact"/>
        <w:rPr>
          <w:rFonts w:ascii="Times New Roman" w:hAnsi="Times New Roman" w:cs="Times New Roman"/>
        </w:rPr>
      </w:pPr>
    </w:p>
    <w:p w14:paraId="66CACA1A" w14:textId="77777777" w:rsidR="001B0301" w:rsidRPr="006B46C7" w:rsidRDefault="001B0301">
      <w:pPr>
        <w:spacing w:line="360" w:lineRule="exact"/>
        <w:rPr>
          <w:rFonts w:ascii="Times New Roman" w:hAnsi="Times New Roman" w:cs="Times New Roman"/>
        </w:rPr>
      </w:pPr>
    </w:p>
    <w:p w14:paraId="0CB82D34" w14:textId="77777777" w:rsidR="001B0301" w:rsidRPr="006B46C7" w:rsidRDefault="001B0301">
      <w:pPr>
        <w:spacing w:line="360" w:lineRule="exact"/>
        <w:rPr>
          <w:rFonts w:ascii="Times New Roman" w:hAnsi="Times New Roman" w:cs="Times New Roman"/>
        </w:rPr>
      </w:pPr>
    </w:p>
    <w:p w14:paraId="10AACAA2" w14:textId="77777777" w:rsidR="001B0301" w:rsidRPr="006B46C7" w:rsidRDefault="001B0301">
      <w:pPr>
        <w:spacing w:line="360" w:lineRule="exact"/>
        <w:rPr>
          <w:rFonts w:ascii="Times New Roman" w:hAnsi="Times New Roman" w:cs="Times New Roman"/>
        </w:rPr>
      </w:pPr>
    </w:p>
    <w:p w14:paraId="032C58CF" w14:textId="77777777" w:rsidR="001B0301" w:rsidRPr="006B46C7" w:rsidRDefault="001B0301">
      <w:pPr>
        <w:spacing w:line="360" w:lineRule="exact"/>
        <w:rPr>
          <w:rFonts w:ascii="Times New Roman" w:hAnsi="Times New Roman" w:cs="Times New Roman"/>
        </w:rPr>
      </w:pPr>
    </w:p>
    <w:p w14:paraId="5757BA44" w14:textId="77777777" w:rsidR="001B0301" w:rsidRPr="006B46C7" w:rsidRDefault="001B0301">
      <w:pPr>
        <w:spacing w:line="360" w:lineRule="exact"/>
        <w:rPr>
          <w:rFonts w:ascii="Times New Roman" w:hAnsi="Times New Roman" w:cs="Times New Roman"/>
        </w:rPr>
      </w:pPr>
    </w:p>
    <w:p w14:paraId="5B919DF7" w14:textId="77777777" w:rsidR="001B0301" w:rsidRPr="006B46C7" w:rsidRDefault="001B0301">
      <w:pPr>
        <w:spacing w:line="360" w:lineRule="exact"/>
        <w:rPr>
          <w:rFonts w:ascii="Times New Roman" w:hAnsi="Times New Roman" w:cs="Times New Roman"/>
        </w:rPr>
      </w:pPr>
    </w:p>
    <w:p w14:paraId="7C6606B6" w14:textId="77777777" w:rsidR="001B0301" w:rsidRPr="006B46C7" w:rsidRDefault="001B0301">
      <w:pPr>
        <w:spacing w:line="360" w:lineRule="exact"/>
        <w:rPr>
          <w:rFonts w:ascii="Times New Roman" w:hAnsi="Times New Roman" w:cs="Times New Roman"/>
        </w:rPr>
      </w:pPr>
    </w:p>
    <w:p w14:paraId="711C693A" w14:textId="77777777" w:rsidR="001B0301" w:rsidRPr="006B46C7" w:rsidRDefault="001B0301">
      <w:pPr>
        <w:spacing w:line="360" w:lineRule="exact"/>
        <w:rPr>
          <w:rFonts w:ascii="Times New Roman" w:hAnsi="Times New Roman" w:cs="Times New Roman"/>
        </w:rPr>
      </w:pPr>
    </w:p>
    <w:p w14:paraId="69FDD2AD" w14:textId="77777777" w:rsidR="001B0301" w:rsidRPr="006B46C7" w:rsidRDefault="001B0301">
      <w:pPr>
        <w:spacing w:line="360" w:lineRule="exact"/>
        <w:rPr>
          <w:rFonts w:ascii="Times New Roman" w:hAnsi="Times New Roman" w:cs="Times New Roman"/>
        </w:rPr>
      </w:pPr>
    </w:p>
    <w:p w14:paraId="49881362" w14:textId="77777777" w:rsidR="001B0301" w:rsidRPr="006B46C7" w:rsidRDefault="001B0301">
      <w:pPr>
        <w:spacing w:line="360" w:lineRule="exact"/>
        <w:rPr>
          <w:rFonts w:ascii="Times New Roman" w:hAnsi="Times New Roman" w:cs="Times New Roman"/>
        </w:rPr>
      </w:pPr>
    </w:p>
    <w:p w14:paraId="045C7CF5" w14:textId="77777777" w:rsidR="001B0301" w:rsidRPr="006B46C7" w:rsidRDefault="001B0301">
      <w:pPr>
        <w:spacing w:line="360" w:lineRule="exact"/>
        <w:rPr>
          <w:rFonts w:ascii="Times New Roman" w:hAnsi="Times New Roman" w:cs="Times New Roman"/>
        </w:rPr>
      </w:pPr>
    </w:p>
    <w:p w14:paraId="6B327B1F" w14:textId="77777777" w:rsidR="001B0301" w:rsidRPr="006B46C7" w:rsidRDefault="001B0301">
      <w:pPr>
        <w:spacing w:line="360" w:lineRule="exact"/>
        <w:rPr>
          <w:rFonts w:ascii="Times New Roman" w:hAnsi="Times New Roman" w:cs="Times New Roman"/>
        </w:rPr>
      </w:pPr>
    </w:p>
    <w:p w14:paraId="0AAA5657" w14:textId="77777777" w:rsidR="001B0301" w:rsidRPr="006B46C7" w:rsidRDefault="001B0301">
      <w:pPr>
        <w:spacing w:line="360" w:lineRule="exact"/>
        <w:rPr>
          <w:rFonts w:ascii="Times New Roman" w:hAnsi="Times New Roman" w:cs="Times New Roman"/>
        </w:rPr>
      </w:pPr>
    </w:p>
    <w:p w14:paraId="43BF07AB" w14:textId="77777777" w:rsidR="001B0301" w:rsidRPr="006B46C7" w:rsidRDefault="001B0301">
      <w:pPr>
        <w:spacing w:line="360" w:lineRule="exact"/>
        <w:rPr>
          <w:rFonts w:ascii="Times New Roman" w:hAnsi="Times New Roman" w:cs="Times New Roman"/>
        </w:rPr>
      </w:pPr>
    </w:p>
    <w:p w14:paraId="12961094" w14:textId="77777777" w:rsidR="001B0301" w:rsidRPr="006B46C7" w:rsidRDefault="001B0301">
      <w:pPr>
        <w:spacing w:line="360" w:lineRule="exact"/>
        <w:rPr>
          <w:rFonts w:ascii="Times New Roman" w:hAnsi="Times New Roman" w:cs="Times New Roman"/>
        </w:rPr>
      </w:pPr>
    </w:p>
    <w:p w14:paraId="2206AEFF" w14:textId="77777777" w:rsidR="001B0301" w:rsidRPr="006B46C7" w:rsidRDefault="001B0301">
      <w:pPr>
        <w:spacing w:line="360" w:lineRule="exact"/>
        <w:rPr>
          <w:rFonts w:ascii="Times New Roman" w:hAnsi="Times New Roman" w:cs="Times New Roman"/>
        </w:rPr>
      </w:pPr>
    </w:p>
    <w:p w14:paraId="75742D12" w14:textId="77777777" w:rsidR="001B0301" w:rsidRPr="006B46C7" w:rsidRDefault="001B0301">
      <w:pPr>
        <w:spacing w:line="360" w:lineRule="exact"/>
        <w:rPr>
          <w:rFonts w:ascii="Times New Roman" w:hAnsi="Times New Roman" w:cs="Times New Roman"/>
        </w:rPr>
      </w:pPr>
    </w:p>
    <w:p w14:paraId="04F213D6" w14:textId="77777777" w:rsidR="001B0301" w:rsidRPr="006B46C7" w:rsidRDefault="001B0301">
      <w:pPr>
        <w:spacing w:line="360" w:lineRule="exact"/>
        <w:rPr>
          <w:rFonts w:ascii="Times New Roman" w:hAnsi="Times New Roman" w:cs="Times New Roman"/>
        </w:rPr>
      </w:pPr>
    </w:p>
    <w:p w14:paraId="55EFBBCD" w14:textId="77777777" w:rsidR="001B0301" w:rsidRPr="006B46C7" w:rsidRDefault="001B0301">
      <w:pPr>
        <w:spacing w:line="360" w:lineRule="exact"/>
        <w:rPr>
          <w:rFonts w:ascii="Times New Roman" w:hAnsi="Times New Roman" w:cs="Times New Roman"/>
        </w:rPr>
      </w:pPr>
    </w:p>
    <w:p w14:paraId="6904971D" w14:textId="77777777" w:rsidR="001B0301" w:rsidRPr="006B46C7" w:rsidRDefault="001B0301">
      <w:pPr>
        <w:spacing w:line="360" w:lineRule="exact"/>
        <w:rPr>
          <w:rFonts w:ascii="Times New Roman" w:hAnsi="Times New Roman" w:cs="Times New Roman"/>
        </w:rPr>
      </w:pPr>
    </w:p>
    <w:p w14:paraId="70262619" w14:textId="77777777" w:rsidR="001B0301" w:rsidRPr="006B46C7" w:rsidRDefault="001B0301">
      <w:pPr>
        <w:spacing w:line="360" w:lineRule="exact"/>
        <w:rPr>
          <w:rFonts w:ascii="Times New Roman" w:hAnsi="Times New Roman" w:cs="Times New Roman"/>
        </w:rPr>
      </w:pPr>
    </w:p>
    <w:p w14:paraId="029082E0" w14:textId="77777777" w:rsidR="001B0301" w:rsidRPr="006B46C7" w:rsidRDefault="001B0301">
      <w:pPr>
        <w:spacing w:line="360" w:lineRule="exact"/>
        <w:rPr>
          <w:rFonts w:ascii="Times New Roman" w:hAnsi="Times New Roman" w:cs="Times New Roman"/>
        </w:rPr>
      </w:pPr>
    </w:p>
    <w:p w14:paraId="7CF96D2A" w14:textId="77777777" w:rsidR="001B0301" w:rsidRPr="006B46C7" w:rsidRDefault="001B0301">
      <w:pPr>
        <w:spacing w:line="360" w:lineRule="exact"/>
        <w:rPr>
          <w:rFonts w:ascii="Times New Roman" w:hAnsi="Times New Roman" w:cs="Times New Roman"/>
        </w:rPr>
      </w:pPr>
    </w:p>
    <w:p w14:paraId="07DDE165" w14:textId="77777777" w:rsidR="001B0301" w:rsidRPr="006B46C7" w:rsidRDefault="001B0301">
      <w:pPr>
        <w:spacing w:line="360" w:lineRule="exact"/>
        <w:rPr>
          <w:rFonts w:ascii="Times New Roman" w:hAnsi="Times New Roman" w:cs="Times New Roman"/>
        </w:rPr>
      </w:pPr>
    </w:p>
    <w:p w14:paraId="661C90EB" w14:textId="77777777" w:rsidR="001B0301" w:rsidRPr="006B46C7" w:rsidRDefault="001B0301">
      <w:pPr>
        <w:spacing w:line="360" w:lineRule="exact"/>
        <w:rPr>
          <w:rFonts w:ascii="Times New Roman" w:hAnsi="Times New Roman" w:cs="Times New Roman"/>
        </w:rPr>
      </w:pPr>
    </w:p>
    <w:p w14:paraId="70F06E2C" w14:textId="77777777" w:rsidR="001B0301" w:rsidRPr="006B46C7" w:rsidRDefault="001B0301">
      <w:pPr>
        <w:spacing w:line="360" w:lineRule="exact"/>
        <w:rPr>
          <w:rFonts w:ascii="Times New Roman" w:hAnsi="Times New Roman" w:cs="Times New Roman"/>
        </w:rPr>
      </w:pPr>
    </w:p>
    <w:p w14:paraId="52BF6FEA" w14:textId="77777777" w:rsidR="001B0301" w:rsidRPr="006B46C7" w:rsidRDefault="001B0301">
      <w:pPr>
        <w:spacing w:line="360" w:lineRule="exact"/>
        <w:rPr>
          <w:rFonts w:ascii="Times New Roman" w:hAnsi="Times New Roman" w:cs="Times New Roman"/>
        </w:rPr>
      </w:pPr>
    </w:p>
    <w:p w14:paraId="15354D6F" w14:textId="77777777" w:rsidR="001B0301" w:rsidRPr="006B46C7" w:rsidRDefault="001B0301">
      <w:pPr>
        <w:spacing w:line="360" w:lineRule="exact"/>
        <w:rPr>
          <w:rFonts w:ascii="Times New Roman" w:hAnsi="Times New Roman" w:cs="Times New Roman"/>
        </w:rPr>
      </w:pPr>
    </w:p>
    <w:p w14:paraId="38E8649B" w14:textId="77777777" w:rsidR="001B0301" w:rsidRPr="006B46C7" w:rsidRDefault="001B0301">
      <w:pPr>
        <w:spacing w:line="360" w:lineRule="exact"/>
        <w:rPr>
          <w:rFonts w:ascii="Times New Roman" w:hAnsi="Times New Roman" w:cs="Times New Roman"/>
        </w:rPr>
      </w:pPr>
    </w:p>
    <w:p w14:paraId="0F96D906" w14:textId="77777777" w:rsidR="00105955" w:rsidRPr="006B46C7" w:rsidRDefault="00105955" w:rsidP="00105955">
      <w:pPr>
        <w:pStyle w:val="40"/>
        <w:framePr w:w="1427" w:h="226" w:wrap="none" w:vAnchor="text" w:hAnchor="page" w:x="9592" w:y="390"/>
        <w:jc w:val="right"/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6B46C7">
          <w:rPr>
            <w:rFonts w:ascii="Times New Roman" w:hAnsi="Times New Roman" w:cs="Times New Roman"/>
            <w:b/>
            <w:bCs/>
            <w:color w:val="0075BC"/>
            <w:sz w:val="24"/>
            <w:szCs w:val="24"/>
          </w:rPr>
          <w:t>www.iadi.org</w:t>
        </w:r>
      </w:hyperlink>
    </w:p>
    <w:p w14:paraId="46685A83" w14:textId="77777777" w:rsidR="001B0301" w:rsidRPr="006B46C7" w:rsidRDefault="001B0301">
      <w:pPr>
        <w:spacing w:after="589" w:line="1" w:lineRule="exact"/>
        <w:rPr>
          <w:rFonts w:ascii="Times New Roman" w:hAnsi="Times New Roman" w:cs="Times New Roman"/>
        </w:rPr>
      </w:pPr>
    </w:p>
    <w:p w14:paraId="2C652304" w14:textId="77777777" w:rsidR="001B0301" w:rsidRPr="006B46C7" w:rsidRDefault="001B0301">
      <w:pPr>
        <w:spacing w:line="1" w:lineRule="exact"/>
        <w:rPr>
          <w:rFonts w:ascii="Times New Roman" w:hAnsi="Times New Roman" w:cs="Times New Roman"/>
        </w:rPr>
      </w:pPr>
    </w:p>
    <w:sectPr w:rsidR="001B0301" w:rsidRPr="006B46C7">
      <w:footnotePr>
        <w:numStart w:val="3"/>
      </w:footnotePr>
      <w:type w:val="continuous"/>
      <w:pgSz w:w="12240" w:h="15840"/>
      <w:pgMar w:top="555" w:right="166" w:bottom="394" w:left="166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ED8D4" w14:textId="77777777" w:rsidR="00801394" w:rsidRDefault="00801394">
      <w:r>
        <w:separator/>
      </w:r>
    </w:p>
  </w:endnote>
  <w:endnote w:type="continuationSeparator" w:id="0">
    <w:p w14:paraId="0758E39E" w14:textId="77777777" w:rsidR="00801394" w:rsidRDefault="0080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CF2EA" w14:textId="77777777" w:rsidR="00801394" w:rsidRDefault="00801394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8A1EB7D" wp14:editId="17A3094A">
              <wp:simplePos x="0" y="0"/>
              <wp:positionH relativeFrom="page">
                <wp:posOffset>1881964</wp:posOffset>
              </wp:positionH>
              <wp:positionV relativeFrom="page">
                <wp:posOffset>9803219</wp:posOffset>
              </wp:positionV>
              <wp:extent cx="4923952" cy="22606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3952" cy="2260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823028" w14:textId="1F1F8CBD" w:rsidR="00801394" w:rsidRPr="004D2C53" w:rsidRDefault="00801394">
                          <w:pPr>
                            <w:pStyle w:val="20"/>
                            <w:tabs>
                              <w:tab w:val="right" w:pos="7051"/>
                            </w:tabs>
                            <w:rPr>
                              <w:sz w:val="16"/>
                              <w:szCs w:val="16"/>
                              <w:lang w:val="ru-RU"/>
                            </w:rPr>
                          </w:pPr>
                          <w:r w:rsidRPr="004D2C53"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  <w:lang w:val="ru-RU"/>
                            </w:rPr>
                            <w:t>Тестирование готовности к кризисным ситуациям и управления ими: Обзор, практика и опыт</w:t>
                          </w:r>
                          <w:r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D2C53"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  <w:lang w:val="ru-RU"/>
                            </w:rPr>
                            <w:instrText xml:space="preserve"> </w:instrText>
                          </w:r>
                          <w:r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</w:rPr>
                            <w:instrText>PAGE</w:instrText>
                          </w:r>
                          <w:r w:rsidRPr="004D2C53"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  <w:lang w:val="ru-RU"/>
                            </w:rPr>
                            <w:instrText xml:space="preserve"> \* </w:instrText>
                          </w:r>
                          <w:r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</w:rPr>
                            <w:instrText>MERGEFORMAT</w:instrText>
                          </w:r>
                          <w:r w:rsidRPr="004D2C53"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  <w:lang w:val="ru-RU"/>
                            </w:rPr>
                            <w:instrText xml:space="preserve"> </w:instrText>
                          </w:r>
                          <w:r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F5CEA" w:rsidRPr="00DF5CEA">
                            <w:rPr>
                              <w:rFonts w:ascii="Segoe UI" w:eastAsia="Segoe UI" w:hAnsi="Segoe UI" w:cs="Segoe UI"/>
                              <w:noProof/>
                              <w:sz w:val="16"/>
                              <w:szCs w:val="16"/>
                              <w:lang w:val="ru-RU"/>
                            </w:rPr>
                            <w:t>59</w:t>
                          </w:r>
                          <w:r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8A1EB7D" id="_x0000_t202" coordsize="21600,21600" o:spt="202" path="m,l,21600r21600,l21600,xe">
              <v:stroke joinstyle="miter"/>
              <v:path gradientshapeok="t" o:connecttype="rect"/>
            </v:shapetype>
            <v:shape id="Shape 4" o:spid="_x0000_s1032" type="#_x0000_t202" style="position:absolute;margin-left:148.2pt;margin-top:771.9pt;width:387.7pt;height:17.8pt;z-index:-4404017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" filled="f" stroked="f">
              <v:textbox style="mso-fit-shape-to-text:t" inset="0,0,0,0">
                <w:txbxContent>
                  <w:p w14:paraId="28823028" w14:textId="1F1F8CBD" w:rsidR="00801394" w:rsidRPr="004D2C53" w:rsidRDefault="00801394">
                    <w:pPr>
                      <w:pStyle w:val="20"/>
                      <w:tabs>
                        <w:tab w:val="right" w:pos="7051"/>
                      </w:tabs>
                      <w:rPr>
                        <w:sz w:val="16"/>
                        <w:szCs w:val="16"/>
                        <w:lang w:val="ru-RU"/>
                      </w:rPr>
                    </w:pPr>
                    <w:r w:rsidRPr="004D2C53">
                      <w:rPr>
                        <w:rFonts w:ascii="Segoe UI" w:eastAsia="Segoe UI" w:hAnsi="Segoe UI" w:cs="Segoe UI"/>
                        <w:sz w:val="16"/>
                        <w:szCs w:val="16"/>
                        <w:lang w:val="ru-RU"/>
                      </w:rPr>
                      <w:t>Тестирование готовности к кризисным ситуациям и управления ими: Обзор, практика и опыт</w:t>
                    </w:r>
                    <w:r>
                      <w:rPr>
                        <w:rFonts w:ascii="Segoe UI" w:eastAsia="Segoe UI" w:hAnsi="Segoe UI" w:cs="Segoe UI"/>
                        <w:sz w:val="16"/>
                        <w:szCs w:val="16"/>
                        <w:lang w:val="ru-RU"/>
                      </w:rPr>
                      <w:t xml:space="preserve"> </w:t>
                    </w:r>
                    <w:r>
                      <w:rPr>
                        <w:rFonts w:ascii="Segoe UI" w:eastAsia="Segoe UI" w:hAnsi="Segoe UI" w:cs="Segoe UI"/>
                        <w:sz w:val="16"/>
                        <w:szCs w:val="16"/>
                      </w:rPr>
                      <w:fldChar w:fldCharType="begin"/>
                    </w:r>
                    <w:r w:rsidRPr="004D2C53">
                      <w:rPr>
                        <w:rFonts w:ascii="Segoe UI" w:eastAsia="Segoe UI" w:hAnsi="Segoe UI" w:cs="Segoe UI"/>
                        <w:sz w:val="16"/>
                        <w:szCs w:val="16"/>
                        <w:lang w:val="ru-RU"/>
                      </w:rPr>
                      <w:instrText xml:space="preserve"> </w:instrText>
                    </w:r>
                    <w:r>
                      <w:rPr>
                        <w:rFonts w:ascii="Segoe UI" w:eastAsia="Segoe UI" w:hAnsi="Segoe UI" w:cs="Segoe UI"/>
                        <w:sz w:val="16"/>
                        <w:szCs w:val="16"/>
                      </w:rPr>
                      <w:instrText>PAGE</w:instrText>
                    </w:r>
                    <w:r w:rsidRPr="004D2C53">
                      <w:rPr>
                        <w:rFonts w:ascii="Segoe UI" w:eastAsia="Segoe UI" w:hAnsi="Segoe UI" w:cs="Segoe UI"/>
                        <w:sz w:val="16"/>
                        <w:szCs w:val="16"/>
                        <w:lang w:val="ru-RU"/>
                      </w:rPr>
                      <w:instrText xml:space="preserve"> \* </w:instrText>
                    </w:r>
                    <w:r>
                      <w:rPr>
                        <w:rFonts w:ascii="Segoe UI" w:eastAsia="Segoe UI" w:hAnsi="Segoe UI" w:cs="Segoe UI"/>
                        <w:sz w:val="16"/>
                        <w:szCs w:val="16"/>
                      </w:rPr>
                      <w:instrText>MERGEFORMAT</w:instrText>
                    </w:r>
                    <w:r w:rsidRPr="004D2C53">
                      <w:rPr>
                        <w:rFonts w:ascii="Segoe UI" w:eastAsia="Segoe UI" w:hAnsi="Segoe UI" w:cs="Segoe UI"/>
                        <w:sz w:val="16"/>
                        <w:szCs w:val="16"/>
                        <w:lang w:val="ru-RU"/>
                      </w:rPr>
                      <w:instrText xml:space="preserve"> </w:instrText>
                    </w:r>
                    <w:r>
                      <w:rPr>
                        <w:rFonts w:ascii="Segoe UI" w:eastAsia="Segoe UI" w:hAnsi="Segoe UI" w:cs="Segoe UI"/>
                        <w:sz w:val="16"/>
                        <w:szCs w:val="16"/>
                      </w:rPr>
                      <w:fldChar w:fldCharType="separate"/>
                    </w:r>
                    <w:r w:rsidR="00DF5CEA" w:rsidRPr="00DF5CEA">
                      <w:rPr>
                        <w:rFonts w:ascii="Segoe UI" w:eastAsia="Segoe UI" w:hAnsi="Segoe UI" w:cs="Segoe UI"/>
                        <w:noProof/>
                        <w:sz w:val="16"/>
                        <w:szCs w:val="16"/>
                        <w:lang w:val="ru-RU"/>
                      </w:rPr>
                      <w:t>59</w:t>
                    </w:r>
                    <w:r>
                      <w:rPr>
                        <w:rFonts w:ascii="Segoe UI" w:eastAsia="Segoe UI" w:hAnsi="Segoe UI"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DDD20" w14:textId="77777777" w:rsidR="00801394" w:rsidRDefault="00801394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D8FF7" w14:textId="77777777" w:rsidR="00801394" w:rsidRDefault="00801394">
      <w:r>
        <w:separator/>
      </w:r>
    </w:p>
  </w:footnote>
  <w:footnote w:type="continuationSeparator" w:id="0">
    <w:p w14:paraId="147F07AF" w14:textId="77777777" w:rsidR="00801394" w:rsidRDefault="00801394">
      <w:r>
        <w:continuationSeparator/>
      </w:r>
    </w:p>
  </w:footnote>
  <w:footnote w:id="1">
    <w:p w14:paraId="7F3E5025" w14:textId="2CF59EB4" w:rsidR="00801394" w:rsidRPr="004D2C53" w:rsidRDefault="00801394">
      <w:pPr>
        <w:pStyle w:val="a4"/>
        <w:tabs>
          <w:tab w:val="left" w:pos="115"/>
        </w:tabs>
        <w:spacing w:line="264" w:lineRule="auto"/>
        <w:rPr>
          <w:lang w:val="ru-RU"/>
        </w:rPr>
      </w:pPr>
      <w:bookmarkStart w:id="1" w:name="bookmark5"/>
      <w:bookmarkStart w:id="2" w:name="bookmark2"/>
      <w:bookmarkStart w:id="3" w:name="bookmark0"/>
      <w:r>
        <w:rPr>
          <w:sz w:val="12"/>
          <w:szCs w:val="12"/>
          <w:vertAlign w:val="superscript"/>
        </w:rPr>
        <w:footnoteRef/>
      </w:r>
      <w:r w:rsidRPr="004D2C53">
        <w:rPr>
          <w:sz w:val="12"/>
          <w:szCs w:val="12"/>
          <w:lang w:val="ru-RU"/>
        </w:rPr>
        <w:tab/>
      </w:r>
      <w:bookmarkEnd w:id="3"/>
      <w:r w:rsidRPr="00787F3E">
        <w:rPr>
          <w:lang w:val="ru-RU"/>
        </w:rPr>
        <w:t>IADI Lessons Learned, 2023</w:t>
      </w:r>
    </w:p>
  </w:footnote>
  <w:footnote w:id="2">
    <w:p w14:paraId="1495A23E" w14:textId="30214351" w:rsidR="00801394" w:rsidRPr="004D2C53" w:rsidRDefault="00801394">
      <w:pPr>
        <w:pStyle w:val="a4"/>
        <w:tabs>
          <w:tab w:val="left" w:pos="115"/>
        </w:tabs>
        <w:spacing w:line="264" w:lineRule="auto"/>
        <w:jc w:val="both"/>
        <w:rPr>
          <w:lang w:val="ru-RU"/>
        </w:rPr>
      </w:pPr>
      <w:r>
        <w:rPr>
          <w:sz w:val="12"/>
          <w:szCs w:val="12"/>
          <w:vertAlign w:val="superscript"/>
        </w:rPr>
        <w:footnoteRef/>
      </w:r>
      <w:r w:rsidRPr="004D2C53">
        <w:rPr>
          <w:sz w:val="12"/>
          <w:szCs w:val="12"/>
          <w:lang w:val="ru-RU"/>
        </w:rPr>
        <w:tab/>
      </w:r>
      <w:r w:rsidRPr="004D2C53">
        <w:rPr>
          <w:lang w:val="ru-RU"/>
        </w:rPr>
        <w:t xml:space="preserve">В ходе реформы управления </w:t>
      </w:r>
      <w:r>
        <w:rPr>
          <w:lang w:val="ru-RU"/>
        </w:rPr>
        <w:t>IADI</w:t>
      </w:r>
      <w:r w:rsidRPr="004D2C53">
        <w:rPr>
          <w:lang w:val="ru-RU"/>
        </w:rPr>
        <w:t xml:space="preserve">, принятой на Ежегодном общем собрании в 2023 году, </w:t>
      </w:r>
      <w:r>
        <w:rPr>
          <w:lang w:val="ru-RU"/>
        </w:rPr>
        <w:t>КОПИСКОПИС</w:t>
      </w:r>
      <w:r w:rsidRPr="00BE5358">
        <w:rPr>
          <w:lang w:val="ru-RU"/>
        </w:rPr>
        <w:t xml:space="preserve"> </w:t>
      </w:r>
      <w:r w:rsidRPr="004D2C53">
        <w:rPr>
          <w:lang w:val="ru-RU"/>
        </w:rPr>
        <w:t>был заменен Комитетом аналитического совета и Комитетом политического совета. Рабочая группа представила окончательный проект Комитету аналитического совета.</w:t>
      </w:r>
    </w:p>
  </w:footnote>
  <w:footnote w:id="3">
    <w:p w14:paraId="4B7DCF4F" w14:textId="7AD82E34" w:rsidR="00801394" w:rsidRPr="004D2C53" w:rsidRDefault="00801394">
      <w:pPr>
        <w:pStyle w:val="a4"/>
        <w:tabs>
          <w:tab w:val="left" w:pos="120"/>
        </w:tabs>
        <w:jc w:val="both"/>
        <w:rPr>
          <w:lang w:val="ru-RU"/>
        </w:rPr>
      </w:pPr>
      <w:r>
        <w:rPr>
          <w:sz w:val="12"/>
          <w:szCs w:val="12"/>
          <w:vertAlign w:val="superscript"/>
        </w:rPr>
        <w:footnoteRef/>
      </w:r>
      <w:r w:rsidRPr="004D2C53">
        <w:rPr>
          <w:sz w:val="12"/>
          <w:szCs w:val="12"/>
          <w:lang w:val="ru-RU"/>
        </w:rPr>
        <w:tab/>
      </w:r>
      <w:r w:rsidRPr="004D2C53">
        <w:rPr>
          <w:lang w:val="ru-RU"/>
        </w:rPr>
        <w:t xml:space="preserve">Ключевые термины в этом разделе взяты из глоссария </w:t>
      </w:r>
      <w:r>
        <w:rPr>
          <w:lang w:val="ru-RU"/>
        </w:rPr>
        <w:t>IADI</w:t>
      </w:r>
      <w:r w:rsidRPr="004D2C53">
        <w:rPr>
          <w:lang w:val="ru-RU"/>
        </w:rPr>
        <w:t>.</w:t>
      </w:r>
    </w:p>
  </w:footnote>
  <w:footnote w:id="4">
    <w:p w14:paraId="3486D8AD" w14:textId="67DF828D" w:rsidR="00801394" w:rsidRPr="004D2C53" w:rsidRDefault="00801394">
      <w:pPr>
        <w:pStyle w:val="a4"/>
        <w:tabs>
          <w:tab w:val="left" w:pos="130"/>
        </w:tabs>
        <w:rPr>
          <w:lang w:val="ru-RU"/>
        </w:rPr>
      </w:pPr>
      <w:bookmarkStart w:id="9" w:name="bookmark3"/>
      <w:r>
        <w:rPr>
          <w:sz w:val="12"/>
          <w:szCs w:val="12"/>
          <w:vertAlign w:val="superscript"/>
        </w:rPr>
        <w:footnoteRef/>
      </w:r>
      <w:r w:rsidRPr="004D2C53">
        <w:rPr>
          <w:sz w:val="12"/>
          <w:szCs w:val="12"/>
          <w:lang w:val="ru-RU"/>
        </w:rPr>
        <w:tab/>
      </w:r>
      <w:r>
        <w:rPr>
          <w:lang w:val="ru-RU"/>
        </w:rPr>
        <w:t>IADI</w:t>
      </w:r>
      <w:r w:rsidRPr="004D2C53">
        <w:rPr>
          <w:lang w:val="ru-RU"/>
        </w:rPr>
        <w:t xml:space="preserve"> (2014).</w:t>
      </w:r>
      <w:bookmarkEnd w:id="9"/>
    </w:p>
  </w:footnote>
  <w:footnote w:id="5">
    <w:p w14:paraId="3433298F" w14:textId="3B84F6F4" w:rsidR="00801394" w:rsidRPr="004D2C53" w:rsidRDefault="00801394">
      <w:pPr>
        <w:pStyle w:val="a4"/>
        <w:tabs>
          <w:tab w:val="left" w:pos="120"/>
        </w:tabs>
        <w:jc w:val="both"/>
        <w:rPr>
          <w:lang w:val="ru-RU"/>
        </w:rPr>
      </w:pPr>
      <w:bookmarkStart w:id="10" w:name="bookmark4"/>
      <w:r>
        <w:rPr>
          <w:sz w:val="12"/>
          <w:szCs w:val="12"/>
          <w:vertAlign w:val="superscript"/>
        </w:rPr>
        <w:footnoteRef/>
      </w:r>
      <w:r w:rsidRPr="004D2C53">
        <w:rPr>
          <w:sz w:val="12"/>
          <w:szCs w:val="12"/>
          <w:lang w:val="ru-RU"/>
        </w:rPr>
        <w:tab/>
      </w:r>
      <w:r w:rsidRPr="004D2C53">
        <w:rPr>
          <w:lang w:val="ru-RU"/>
        </w:rPr>
        <w:t xml:space="preserve">В данном документе </w:t>
      </w:r>
      <w:r>
        <w:rPr>
          <w:lang w:val="ru-RU"/>
        </w:rPr>
        <w:t>“</w:t>
      </w:r>
      <w:r w:rsidRPr="004D2C53">
        <w:rPr>
          <w:lang w:val="ru-RU"/>
        </w:rPr>
        <w:t>готовность к кризисным ситуациям и управление ими</w:t>
      </w:r>
      <w:r>
        <w:rPr>
          <w:lang w:val="ru-RU"/>
        </w:rPr>
        <w:t>”</w:t>
      </w:r>
      <w:r w:rsidRPr="004D2C53">
        <w:rPr>
          <w:lang w:val="ru-RU"/>
        </w:rPr>
        <w:t xml:space="preserve"> является синонимом и заменой термина </w:t>
      </w:r>
      <w:r>
        <w:rPr>
          <w:lang w:val="ru-RU"/>
        </w:rPr>
        <w:t>“</w:t>
      </w:r>
      <w:r w:rsidRPr="004D2C53">
        <w:rPr>
          <w:lang w:val="ru-RU"/>
        </w:rPr>
        <w:t>план действий в чрезвычайных ситуациях</w:t>
      </w:r>
      <w:r>
        <w:rPr>
          <w:lang w:val="ru-RU"/>
        </w:rPr>
        <w:t>”</w:t>
      </w:r>
      <w:r w:rsidRPr="004D2C53">
        <w:rPr>
          <w:lang w:val="ru-RU"/>
        </w:rPr>
        <w:t>.</w:t>
      </w:r>
      <w:bookmarkEnd w:id="10"/>
    </w:p>
  </w:footnote>
  <w:footnote w:id="6">
    <w:p w14:paraId="29CE1C15" w14:textId="3FC3B483" w:rsidR="00801394" w:rsidRPr="00247021" w:rsidRDefault="00801394">
      <w:pPr>
        <w:pStyle w:val="a4"/>
        <w:tabs>
          <w:tab w:val="left" w:pos="125"/>
        </w:tabs>
        <w:jc w:val="both"/>
      </w:pPr>
      <w:r>
        <w:rPr>
          <w:sz w:val="12"/>
          <w:szCs w:val="12"/>
          <w:vertAlign w:val="superscript"/>
        </w:rPr>
        <w:footnoteRef/>
      </w:r>
      <w:r w:rsidRPr="00247021">
        <w:rPr>
          <w:sz w:val="12"/>
          <w:szCs w:val="12"/>
        </w:rPr>
        <w:tab/>
      </w:r>
      <w:r w:rsidRPr="00247021">
        <w:t xml:space="preserve">IADI (2021), </w:t>
      </w:r>
      <w:r>
        <w:t>“</w:t>
      </w:r>
      <w:r w:rsidRPr="00247021">
        <w:t>Contingency Plan Testing in North America</w:t>
      </w:r>
      <w:r>
        <w:t>”</w:t>
      </w:r>
    </w:p>
  </w:footnote>
  <w:footnote w:id="7">
    <w:p w14:paraId="63180FE4" w14:textId="77777777" w:rsidR="00801394" w:rsidRPr="004D2C53" w:rsidRDefault="00801394">
      <w:pPr>
        <w:pStyle w:val="a4"/>
        <w:tabs>
          <w:tab w:val="left" w:pos="125"/>
        </w:tabs>
        <w:rPr>
          <w:lang w:val="ru-RU"/>
        </w:rPr>
      </w:pPr>
      <w:bookmarkStart w:id="17" w:name="bookmark6"/>
      <w:r>
        <w:rPr>
          <w:sz w:val="12"/>
          <w:szCs w:val="12"/>
          <w:vertAlign w:val="superscript"/>
        </w:rPr>
        <w:footnoteRef/>
      </w:r>
      <w:r w:rsidRPr="004D2C53">
        <w:rPr>
          <w:sz w:val="12"/>
          <w:szCs w:val="12"/>
          <w:lang w:val="ru-RU"/>
        </w:rPr>
        <w:tab/>
      </w:r>
      <w:r w:rsidRPr="004D2C53">
        <w:rPr>
          <w:lang w:val="ru-RU"/>
        </w:rPr>
        <w:t xml:space="preserve">Информация об этих организациях представлена в Приложении </w:t>
      </w:r>
      <w:r>
        <w:t>I</w:t>
      </w:r>
      <w:r w:rsidRPr="004D2C53">
        <w:rPr>
          <w:lang w:val="ru-RU"/>
        </w:rPr>
        <w:t>.</w:t>
      </w:r>
      <w:bookmarkEnd w:id="17"/>
    </w:p>
  </w:footnote>
  <w:footnote w:id="8">
    <w:p w14:paraId="2D269BDC" w14:textId="11A1D2AB" w:rsidR="00801394" w:rsidRPr="004D2C53" w:rsidRDefault="00801394">
      <w:pPr>
        <w:pStyle w:val="a4"/>
        <w:tabs>
          <w:tab w:val="left" w:pos="115"/>
        </w:tabs>
        <w:rPr>
          <w:lang w:val="ru-RU"/>
        </w:rPr>
      </w:pPr>
      <w:bookmarkStart w:id="24" w:name="bookmark7"/>
      <w:r>
        <w:rPr>
          <w:sz w:val="12"/>
          <w:szCs w:val="12"/>
          <w:vertAlign w:val="superscript"/>
        </w:rPr>
        <w:footnoteRef/>
      </w:r>
      <w:r w:rsidRPr="004D2C53">
        <w:rPr>
          <w:sz w:val="12"/>
          <w:szCs w:val="12"/>
          <w:lang w:val="ru-RU"/>
        </w:rPr>
        <w:tab/>
      </w:r>
      <w:r w:rsidRPr="004D2C53">
        <w:rPr>
          <w:lang w:val="ru-RU"/>
        </w:rPr>
        <w:t xml:space="preserve">В обзор литературы включены количественные источники, которые </w:t>
      </w:r>
      <w:r>
        <w:rPr>
          <w:lang w:val="ru-RU"/>
        </w:rPr>
        <w:t>IADI</w:t>
      </w:r>
      <w:r w:rsidRPr="004D2C53">
        <w:rPr>
          <w:lang w:val="ru-RU"/>
        </w:rPr>
        <w:t xml:space="preserve"> собрала в ходе своей текущей работы в качестве основного источника исследований в области страхования вкладов. Благодаря этим мероприятиям, таким как Ежегодный обзор </w:t>
      </w:r>
      <w:r>
        <w:rPr>
          <w:lang w:val="ru-RU"/>
        </w:rPr>
        <w:t>IADI</w:t>
      </w:r>
      <w:r w:rsidRPr="004D2C53">
        <w:rPr>
          <w:lang w:val="ru-RU"/>
        </w:rPr>
        <w:t xml:space="preserve"> и Тематический обзор внешних связей, Рабочая группа получила совокупные данные, позволяющие составить более широкое представление о готовности к кризису и управлении им в секторе страхования вкладов. Это отличается от существующих документов, которые обычно фокусируются на одной или небольшом количестве юрисдикций.</w:t>
      </w:r>
      <w:bookmarkEnd w:id="24"/>
    </w:p>
  </w:footnote>
  <w:footnote w:id="9">
    <w:p w14:paraId="3D360E54" w14:textId="37F04F6C" w:rsidR="00801394" w:rsidRPr="004D2C53" w:rsidRDefault="00801394">
      <w:pPr>
        <w:pStyle w:val="a4"/>
        <w:tabs>
          <w:tab w:val="left" w:pos="125"/>
        </w:tabs>
        <w:rPr>
          <w:lang w:val="ru-RU"/>
        </w:rPr>
      </w:pPr>
      <w:bookmarkStart w:id="25" w:name="bookmark8"/>
      <w:r>
        <w:rPr>
          <w:sz w:val="12"/>
          <w:szCs w:val="12"/>
          <w:vertAlign w:val="superscript"/>
        </w:rPr>
        <w:footnoteRef/>
      </w:r>
      <w:r w:rsidRPr="004D2C53">
        <w:rPr>
          <w:sz w:val="12"/>
          <w:szCs w:val="12"/>
          <w:lang w:val="ru-RU"/>
        </w:rPr>
        <w:tab/>
      </w:r>
      <w:r w:rsidRPr="004D2C53">
        <w:rPr>
          <w:lang w:val="ru-RU"/>
        </w:rPr>
        <w:t xml:space="preserve">Для более полного анализа событий марта 2023 года Рабочая группа рекомендует ознакомиться с отчетом </w:t>
      </w:r>
      <w:r>
        <w:rPr>
          <w:lang w:val="ru-RU"/>
        </w:rPr>
        <w:t>IADI 2023</w:t>
      </w:r>
      <w:r w:rsidRPr="004D2C53">
        <w:rPr>
          <w:lang w:val="ru-RU"/>
        </w:rPr>
        <w:t xml:space="preserve"> </w:t>
      </w:r>
      <w:bookmarkEnd w:id="25"/>
      <w:r w:rsidRPr="002E6FEB">
        <w:rPr>
          <w:lang w:val="ru-RU"/>
        </w:rPr>
        <w:t>Lessons Learned</w:t>
      </w:r>
    </w:p>
  </w:footnote>
  <w:footnote w:id="10">
    <w:p w14:paraId="5DD08A53" w14:textId="5317BC57" w:rsidR="00801394" w:rsidRPr="004D2C53" w:rsidRDefault="00801394">
      <w:pPr>
        <w:pStyle w:val="a4"/>
        <w:tabs>
          <w:tab w:val="left" w:pos="178"/>
        </w:tabs>
        <w:rPr>
          <w:lang w:val="ru-RU"/>
        </w:rPr>
      </w:pPr>
      <w:r>
        <w:rPr>
          <w:sz w:val="12"/>
          <w:szCs w:val="12"/>
          <w:vertAlign w:val="superscript"/>
        </w:rPr>
        <w:footnoteRef/>
      </w:r>
      <w:r w:rsidRPr="004D2C53">
        <w:rPr>
          <w:sz w:val="12"/>
          <w:szCs w:val="12"/>
          <w:lang w:val="ru-RU"/>
        </w:rPr>
        <w:tab/>
      </w:r>
      <w:r>
        <w:rPr>
          <w:lang w:val="ru-RU"/>
        </w:rPr>
        <w:t>IADI</w:t>
      </w:r>
      <w:r w:rsidRPr="004D2C53">
        <w:rPr>
          <w:lang w:val="ru-RU"/>
        </w:rPr>
        <w:t xml:space="preserve"> (2021), стр. 21-22</w:t>
      </w:r>
    </w:p>
  </w:footnote>
  <w:footnote w:id="11">
    <w:p w14:paraId="24577BE1" w14:textId="77777777" w:rsidR="00801394" w:rsidRDefault="00801394">
      <w:pPr>
        <w:pStyle w:val="a4"/>
        <w:tabs>
          <w:tab w:val="left" w:pos="178"/>
        </w:tabs>
        <w:jc w:val="both"/>
      </w:pPr>
      <w:bookmarkStart w:id="42" w:name="bookmark10"/>
      <w:r>
        <w:rPr>
          <w:sz w:val="12"/>
          <w:szCs w:val="12"/>
          <w:vertAlign w:val="superscript"/>
        </w:rPr>
        <w:footnoteRef/>
      </w:r>
      <w:r w:rsidRPr="004D2C53">
        <w:rPr>
          <w:sz w:val="12"/>
          <w:szCs w:val="12"/>
          <w:lang w:val="ru-RU"/>
        </w:rPr>
        <w:tab/>
      </w:r>
      <w:r w:rsidRPr="004D2C53">
        <w:rPr>
          <w:lang w:val="ru-RU"/>
        </w:rPr>
        <w:t xml:space="preserve">Ли, Йеджин Кэрол. </w:t>
      </w:r>
      <w:r>
        <w:t>The World Bank Crisis Simulation Exercise Handbook (English), p.7.</w:t>
      </w:r>
      <w:bookmarkEnd w:id="42"/>
    </w:p>
  </w:footnote>
  <w:footnote w:id="12">
    <w:p w14:paraId="4B382587" w14:textId="459C20A8" w:rsidR="00801394" w:rsidRPr="004D2C53" w:rsidRDefault="00801394">
      <w:pPr>
        <w:pStyle w:val="a4"/>
        <w:tabs>
          <w:tab w:val="left" w:pos="178"/>
        </w:tabs>
        <w:rPr>
          <w:lang w:val="ru-RU"/>
        </w:rPr>
      </w:pPr>
      <w:bookmarkStart w:id="43" w:name="bookmark11"/>
      <w:r>
        <w:rPr>
          <w:sz w:val="12"/>
          <w:szCs w:val="12"/>
          <w:vertAlign w:val="superscript"/>
        </w:rPr>
        <w:footnoteRef/>
      </w:r>
      <w:r w:rsidRPr="004D2C53">
        <w:rPr>
          <w:sz w:val="12"/>
          <w:szCs w:val="12"/>
          <w:lang w:val="ru-RU"/>
        </w:rPr>
        <w:tab/>
      </w:r>
      <w:r w:rsidRPr="004D2C53">
        <w:rPr>
          <w:lang w:val="ru-RU"/>
        </w:rPr>
        <w:t xml:space="preserve">Вместо этого в документе рекомендуется использовать такие понятия, как </w:t>
      </w:r>
      <w:r>
        <w:rPr>
          <w:lang w:val="ru-RU"/>
        </w:rPr>
        <w:t>“</w:t>
      </w:r>
      <w:r w:rsidRPr="004D2C53">
        <w:rPr>
          <w:lang w:val="ru-RU"/>
        </w:rPr>
        <w:t>практика</w:t>
      </w:r>
      <w:r>
        <w:rPr>
          <w:lang w:val="ru-RU"/>
        </w:rPr>
        <w:t>”</w:t>
      </w:r>
      <w:r w:rsidRPr="004D2C53">
        <w:rPr>
          <w:lang w:val="ru-RU"/>
        </w:rPr>
        <w:t xml:space="preserve"> и </w:t>
      </w:r>
      <w:r>
        <w:rPr>
          <w:lang w:val="ru-RU"/>
        </w:rPr>
        <w:t>“</w:t>
      </w:r>
      <w:r w:rsidRPr="004D2C53">
        <w:rPr>
          <w:lang w:val="ru-RU"/>
        </w:rPr>
        <w:t>игры</w:t>
      </w:r>
      <w:r>
        <w:rPr>
          <w:lang w:val="ru-RU"/>
        </w:rPr>
        <w:t>”</w:t>
      </w:r>
      <w:r w:rsidRPr="004D2C53">
        <w:rPr>
          <w:lang w:val="ru-RU"/>
        </w:rPr>
        <w:t xml:space="preserve">, которые формируют у сотрудников более здоровый подход, ориентированный на общий результат, а не на индивидуальные показатели. В результате создается более естественная обстановка, повышается вовлеченность участников, что способствует получению более полезных выводов и рекомендаций для страховщиков </w:t>
      </w:r>
      <w:r>
        <w:rPr>
          <w:lang w:val="ru-RU"/>
        </w:rPr>
        <w:t>вкладов</w:t>
      </w:r>
      <w:r w:rsidRPr="004D2C53">
        <w:rPr>
          <w:lang w:val="ru-RU"/>
        </w:rPr>
        <w:t>.</w:t>
      </w:r>
      <w:bookmarkEnd w:id="43"/>
    </w:p>
  </w:footnote>
  <w:footnote w:id="13">
    <w:p w14:paraId="44048E20" w14:textId="77777777" w:rsidR="00801394" w:rsidRPr="00841E7F" w:rsidRDefault="00801394">
      <w:pPr>
        <w:pStyle w:val="a4"/>
        <w:tabs>
          <w:tab w:val="left" w:pos="178"/>
        </w:tabs>
      </w:pPr>
      <w:r>
        <w:rPr>
          <w:sz w:val="12"/>
          <w:szCs w:val="12"/>
          <w:vertAlign w:val="superscript"/>
        </w:rPr>
        <w:footnoteRef/>
      </w:r>
      <w:r w:rsidRPr="00841E7F">
        <w:rPr>
          <w:sz w:val="12"/>
          <w:szCs w:val="12"/>
        </w:rPr>
        <w:tab/>
      </w:r>
      <w:r>
        <w:t>Lee</w:t>
      </w:r>
      <w:r w:rsidRPr="00841E7F">
        <w:t xml:space="preserve">, </w:t>
      </w:r>
      <w:r>
        <w:t>Yejin</w:t>
      </w:r>
      <w:r w:rsidRPr="00841E7F">
        <w:t xml:space="preserve"> </w:t>
      </w:r>
      <w:r>
        <w:t>Carol</w:t>
      </w:r>
      <w:r w:rsidRPr="00841E7F">
        <w:t xml:space="preserve"> (2023), </w:t>
      </w:r>
      <w:r>
        <w:rPr>
          <w:i/>
          <w:iCs/>
        </w:rPr>
        <w:t>p</w:t>
      </w:r>
      <w:r w:rsidRPr="00841E7F">
        <w:rPr>
          <w:i/>
          <w:iCs/>
        </w:rPr>
        <w:t>. 12-13.</w:t>
      </w:r>
    </w:p>
  </w:footnote>
  <w:footnote w:id="14">
    <w:p w14:paraId="7DCD328B" w14:textId="542CE87F" w:rsidR="00801394" w:rsidRPr="00FF5B0A" w:rsidRDefault="00801394">
      <w:pPr>
        <w:pStyle w:val="a4"/>
        <w:tabs>
          <w:tab w:val="left" w:pos="230"/>
        </w:tabs>
        <w:ind w:left="140" w:hanging="140"/>
      </w:pPr>
      <w:bookmarkStart w:id="47" w:name="bookmark13"/>
      <w:r>
        <w:rPr>
          <w:sz w:val="12"/>
          <w:szCs w:val="12"/>
          <w:vertAlign w:val="superscript"/>
        </w:rPr>
        <w:footnoteRef/>
      </w:r>
      <w:r w:rsidRPr="00FF5B0A">
        <w:rPr>
          <w:sz w:val="12"/>
          <w:szCs w:val="12"/>
        </w:rPr>
        <w:tab/>
      </w:r>
      <w:r w:rsidRPr="00740174">
        <w:t>IADI</w:t>
      </w:r>
      <w:r w:rsidRPr="00FF5B0A">
        <w:t xml:space="preserve"> (2023</w:t>
      </w:r>
      <w:r>
        <w:t>b</w:t>
      </w:r>
      <w:r w:rsidRPr="00FF5B0A">
        <w:t>), Thematic Review No.2. External Relations. International Association of D</w:t>
      </w:r>
      <w:r>
        <w:t>eposit Insurers, September 2023</w:t>
      </w:r>
      <w:r w:rsidRPr="00FF5B0A">
        <w:t>.</w:t>
      </w:r>
      <w:bookmarkEnd w:id="47"/>
    </w:p>
  </w:footnote>
  <w:footnote w:id="15">
    <w:p w14:paraId="4419054B" w14:textId="119D95F1" w:rsidR="00801394" w:rsidRPr="004D2C53" w:rsidRDefault="00801394">
      <w:pPr>
        <w:pStyle w:val="a4"/>
        <w:tabs>
          <w:tab w:val="left" w:pos="168"/>
        </w:tabs>
        <w:ind w:left="140" w:hanging="140"/>
        <w:rPr>
          <w:lang w:val="ru-RU"/>
        </w:rPr>
      </w:pPr>
      <w:bookmarkStart w:id="48" w:name="bookmark14"/>
      <w:r>
        <w:rPr>
          <w:sz w:val="12"/>
          <w:szCs w:val="12"/>
          <w:vertAlign w:val="superscript"/>
        </w:rPr>
        <w:footnoteRef/>
      </w:r>
      <w:r w:rsidRPr="004D2C53">
        <w:rPr>
          <w:sz w:val="12"/>
          <w:szCs w:val="12"/>
          <w:lang w:val="ru-RU"/>
        </w:rPr>
        <w:tab/>
      </w:r>
      <w:r w:rsidRPr="004D2C53">
        <w:rPr>
          <w:lang w:val="ru-RU"/>
        </w:rPr>
        <w:t xml:space="preserve">Страховщик </w:t>
      </w:r>
      <w:r>
        <w:rPr>
          <w:lang w:val="ru-RU"/>
        </w:rPr>
        <w:t>вкладов</w:t>
      </w:r>
      <w:r w:rsidRPr="004D2C53">
        <w:rPr>
          <w:lang w:val="ru-RU"/>
        </w:rPr>
        <w:t xml:space="preserve"> имеет собственные эффективные политики и процедуры планирования действий в чрезвычайных ситуациях и управления кризисными ситуациями, чтобы обеспечить эффективное реагирование на риск и фактические банкротства банков и другие случаи</w:t>
      </w:r>
      <w:bookmarkEnd w:id="48"/>
    </w:p>
  </w:footnote>
  <w:footnote w:id="16">
    <w:p w14:paraId="0EECDF66" w14:textId="09E4D468" w:rsidR="00801394" w:rsidRPr="004D2C53" w:rsidRDefault="00801394">
      <w:pPr>
        <w:pStyle w:val="a4"/>
        <w:tabs>
          <w:tab w:val="left" w:pos="178"/>
        </w:tabs>
        <w:rPr>
          <w:lang w:val="ru-RU"/>
        </w:rPr>
      </w:pPr>
      <w:bookmarkStart w:id="49" w:name="bookmark15"/>
      <w:r>
        <w:rPr>
          <w:sz w:val="12"/>
          <w:szCs w:val="12"/>
          <w:vertAlign w:val="superscript"/>
        </w:rPr>
        <w:footnoteRef/>
      </w:r>
      <w:r w:rsidRPr="004D2C53">
        <w:rPr>
          <w:sz w:val="12"/>
          <w:szCs w:val="12"/>
          <w:lang w:val="ru-RU"/>
        </w:rPr>
        <w:tab/>
      </w:r>
      <w:r>
        <w:rPr>
          <w:lang w:val="ru-RU"/>
        </w:rPr>
        <w:t>IADI</w:t>
      </w:r>
      <w:r w:rsidRPr="004D2C53">
        <w:rPr>
          <w:lang w:val="ru-RU"/>
        </w:rPr>
        <w:t xml:space="preserve"> (2023</w:t>
      </w:r>
      <w:r>
        <w:t>b</w:t>
      </w:r>
      <w:r w:rsidRPr="004D2C53">
        <w:rPr>
          <w:lang w:val="ru-RU"/>
        </w:rPr>
        <w:t>), стр.6.</w:t>
      </w:r>
      <w:bookmarkEnd w:id="49"/>
    </w:p>
  </w:footnote>
  <w:footnote w:id="17">
    <w:p w14:paraId="3042F4AB" w14:textId="658DE7E9" w:rsidR="00801394" w:rsidRPr="004D2C53" w:rsidRDefault="00801394">
      <w:pPr>
        <w:pStyle w:val="a4"/>
        <w:tabs>
          <w:tab w:val="left" w:pos="168"/>
        </w:tabs>
        <w:rPr>
          <w:lang w:val="ru-RU"/>
        </w:rPr>
      </w:pPr>
      <w:bookmarkStart w:id="50" w:name="bookmark16"/>
      <w:r>
        <w:rPr>
          <w:sz w:val="12"/>
          <w:szCs w:val="12"/>
          <w:vertAlign w:val="superscript"/>
        </w:rPr>
        <w:footnoteRef/>
      </w:r>
      <w:r w:rsidRPr="004D2C53">
        <w:rPr>
          <w:sz w:val="12"/>
          <w:szCs w:val="12"/>
          <w:lang w:val="ru-RU"/>
        </w:rPr>
        <w:tab/>
      </w:r>
      <w:r w:rsidRPr="004D2C53">
        <w:rPr>
          <w:lang w:val="ru-RU"/>
        </w:rPr>
        <w:t xml:space="preserve">Страховщик </w:t>
      </w:r>
      <w:r>
        <w:rPr>
          <w:lang w:val="ru-RU"/>
        </w:rPr>
        <w:t>вкладов</w:t>
      </w:r>
      <w:r w:rsidRPr="004D2C53">
        <w:rPr>
          <w:lang w:val="ru-RU"/>
        </w:rPr>
        <w:t xml:space="preserve"> разрабатывает и регулярно проверяет свои собственные планы планирования действий в чрезвычайных ситуациях и антикризисного управления</w:t>
      </w:r>
      <w:bookmarkEnd w:id="50"/>
    </w:p>
  </w:footnote>
  <w:footnote w:id="18">
    <w:p w14:paraId="13B108D5" w14:textId="093C24D3" w:rsidR="00801394" w:rsidRPr="004D2C53" w:rsidRDefault="00801394">
      <w:pPr>
        <w:pStyle w:val="a4"/>
        <w:tabs>
          <w:tab w:val="left" w:pos="178"/>
        </w:tabs>
        <w:rPr>
          <w:lang w:val="ru-RU"/>
        </w:rPr>
      </w:pPr>
      <w:bookmarkStart w:id="51" w:name="bookmark17"/>
      <w:r>
        <w:rPr>
          <w:sz w:val="12"/>
          <w:szCs w:val="12"/>
          <w:vertAlign w:val="superscript"/>
        </w:rPr>
        <w:footnoteRef/>
      </w:r>
      <w:r w:rsidRPr="004D2C53">
        <w:rPr>
          <w:sz w:val="12"/>
          <w:szCs w:val="12"/>
          <w:lang w:val="ru-RU"/>
        </w:rPr>
        <w:tab/>
      </w:r>
      <w:r>
        <w:rPr>
          <w:lang w:val="ru-RU"/>
        </w:rPr>
        <w:t>IADI</w:t>
      </w:r>
      <w:r w:rsidRPr="004D2C53">
        <w:rPr>
          <w:lang w:val="ru-RU"/>
        </w:rPr>
        <w:t xml:space="preserve"> (2023</w:t>
      </w:r>
      <w:r>
        <w:t>b</w:t>
      </w:r>
      <w:r w:rsidRPr="004D2C53">
        <w:rPr>
          <w:lang w:val="ru-RU"/>
        </w:rPr>
        <w:t>), стр.20.</w:t>
      </w:r>
      <w:bookmarkEnd w:id="51"/>
    </w:p>
  </w:footnote>
  <w:footnote w:id="19">
    <w:p w14:paraId="09AC9C83" w14:textId="1006B9AD" w:rsidR="00801394" w:rsidRPr="004D2C53" w:rsidRDefault="00801394">
      <w:pPr>
        <w:pStyle w:val="a4"/>
        <w:tabs>
          <w:tab w:val="left" w:pos="168"/>
        </w:tabs>
        <w:ind w:left="140" w:hanging="140"/>
        <w:rPr>
          <w:lang w:val="ru-RU"/>
        </w:rPr>
      </w:pPr>
      <w:bookmarkStart w:id="52" w:name="bookmark18"/>
      <w:r>
        <w:rPr>
          <w:sz w:val="12"/>
          <w:szCs w:val="12"/>
          <w:vertAlign w:val="superscript"/>
        </w:rPr>
        <w:footnoteRef/>
      </w:r>
      <w:r w:rsidRPr="004D2C53">
        <w:rPr>
          <w:sz w:val="12"/>
          <w:szCs w:val="12"/>
          <w:lang w:val="ru-RU"/>
        </w:rPr>
        <w:tab/>
      </w:r>
      <w:r w:rsidRPr="004D2C53">
        <w:rPr>
          <w:lang w:val="ru-RU"/>
        </w:rPr>
        <w:t xml:space="preserve">Страховщик </w:t>
      </w:r>
      <w:r>
        <w:rPr>
          <w:lang w:val="ru-RU"/>
        </w:rPr>
        <w:t>вкладов</w:t>
      </w:r>
      <w:r w:rsidRPr="004D2C53">
        <w:rPr>
          <w:lang w:val="ru-RU"/>
        </w:rPr>
        <w:t xml:space="preserve"> участвует в регулярных учениях по планированию и моделированию действий в чрезвычайных ситуациях, связанных с общесистемной готовностью к кризисам и управлением ими, с участием всех участников сети безопасности.</w:t>
      </w:r>
      <w:bookmarkEnd w:id="52"/>
    </w:p>
  </w:footnote>
  <w:footnote w:id="20">
    <w:p w14:paraId="3DFD0BDB" w14:textId="10211D4D" w:rsidR="00801394" w:rsidRPr="004D2C53" w:rsidRDefault="00801394">
      <w:pPr>
        <w:pStyle w:val="a4"/>
        <w:tabs>
          <w:tab w:val="left" w:pos="187"/>
        </w:tabs>
        <w:rPr>
          <w:lang w:val="ru-RU"/>
        </w:rPr>
      </w:pPr>
      <w:bookmarkStart w:id="53" w:name="bookmark19"/>
      <w:r>
        <w:rPr>
          <w:sz w:val="12"/>
          <w:szCs w:val="12"/>
          <w:vertAlign w:val="superscript"/>
        </w:rPr>
        <w:footnoteRef/>
      </w:r>
      <w:r w:rsidRPr="004D2C53">
        <w:rPr>
          <w:sz w:val="12"/>
          <w:szCs w:val="12"/>
          <w:lang w:val="ru-RU"/>
        </w:rPr>
        <w:tab/>
      </w:r>
      <w:r>
        <w:rPr>
          <w:lang w:val="ru-RU"/>
        </w:rPr>
        <w:t>IADI</w:t>
      </w:r>
      <w:r w:rsidRPr="004D2C53">
        <w:rPr>
          <w:lang w:val="ru-RU"/>
        </w:rPr>
        <w:t xml:space="preserve"> (2023</w:t>
      </w:r>
      <w:r>
        <w:t>b</w:t>
      </w:r>
      <w:r w:rsidRPr="004D2C53">
        <w:rPr>
          <w:lang w:val="ru-RU"/>
        </w:rPr>
        <w:t>)</w:t>
      </w:r>
      <w:r w:rsidRPr="004D2C53">
        <w:rPr>
          <w:i/>
          <w:iCs/>
          <w:lang w:val="ru-RU"/>
        </w:rPr>
        <w:t xml:space="preserve">, </w:t>
      </w:r>
      <w:r w:rsidRPr="004D2C53">
        <w:rPr>
          <w:lang w:val="ru-RU"/>
        </w:rPr>
        <w:t>стр. 23</w:t>
      </w:r>
      <w:r w:rsidRPr="004D2C53">
        <w:rPr>
          <w:i/>
          <w:iCs/>
          <w:lang w:val="ru-RU"/>
        </w:rPr>
        <w:t>.</w:t>
      </w:r>
      <w:bookmarkEnd w:id="53"/>
    </w:p>
  </w:footnote>
  <w:footnote w:id="21">
    <w:p w14:paraId="2FBCA83A" w14:textId="4F28CFFF" w:rsidR="00801394" w:rsidRPr="004D2C53" w:rsidRDefault="00801394">
      <w:pPr>
        <w:pStyle w:val="a4"/>
        <w:tabs>
          <w:tab w:val="left" w:pos="187"/>
        </w:tabs>
        <w:rPr>
          <w:lang w:val="ru-RU"/>
        </w:rPr>
      </w:pPr>
      <w:bookmarkStart w:id="54" w:name="bookmark20"/>
      <w:r>
        <w:rPr>
          <w:sz w:val="12"/>
          <w:szCs w:val="12"/>
          <w:vertAlign w:val="superscript"/>
        </w:rPr>
        <w:footnoteRef/>
      </w:r>
      <w:r w:rsidRPr="004D2C53">
        <w:rPr>
          <w:sz w:val="12"/>
          <w:szCs w:val="12"/>
          <w:lang w:val="ru-RU"/>
        </w:rPr>
        <w:tab/>
      </w:r>
      <w:r>
        <w:rPr>
          <w:lang w:val="ru-RU"/>
        </w:rPr>
        <w:t>IADI</w:t>
      </w:r>
      <w:r w:rsidRPr="004D2C53">
        <w:rPr>
          <w:lang w:val="ru-RU"/>
        </w:rPr>
        <w:t xml:space="preserve"> (2023</w:t>
      </w:r>
      <w:r>
        <w:t>b</w:t>
      </w:r>
      <w:r w:rsidRPr="004D2C53">
        <w:rPr>
          <w:lang w:val="ru-RU"/>
        </w:rPr>
        <w:t>)</w:t>
      </w:r>
      <w:r w:rsidRPr="004D2C53">
        <w:rPr>
          <w:i/>
          <w:iCs/>
          <w:lang w:val="ru-RU"/>
        </w:rPr>
        <w:t xml:space="preserve">, </w:t>
      </w:r>
      <w:r w:rsidRPr="004D2C53">
        <w:rPr>
          <w:lang w:val="ru-RU"/>
        </w:rPr>
        <w:t>стр. 23</w:t>
      </w:r>
      <w:r w:rsidRPr="004D2C53">
        <w:rPr>
          <w:i/>
          <w:iCs/>
          <w:lang w:val="ru-RU"/>
        </w:rPr>
        <w:t>.</w:t>
      </w:r>
      <w:bookmarkEnd w:id="54"/>
    </w:p>
  </w:footnote>
  <w:footnote w:id="22">
    <w:p w14:paraId="738E8079" w14:textId="494E37FA" w:rsidR="00801394" w:rsidRPr="00107433" w:rsidRDefault="00801394">
      <w:pPr>
        <w:pStyle w:val="a4"/>
        <w:tabs>
          <w:tab w:val="left" w:pos="187"/>
        </w:tabs>
        <w:jc w:val="both"/>
      </w:pPr>
      <w:bookmarkStart w:id="58" w:name="bookmark21"/>
      <w:r>
        <w:rPr>
          <w:sz w:val="12"/>
          <w:szCs w:val="12"/>
          <w:vertAlign w:val="superscript"/>
        </w:rPr>
        <w:footnoteRef/>
      </w:r>
      <w:r w:rsidRPr="00107433">
        <w:rPr>
          <w:sz w:val="12"/>
          <w:szCs w:val="12"/>
        </w:rPr>
        <w:tab/>
      </w:r>
      <w:r w:rsidRPr="00740174">
        <w:t>IADI</w:t>
      </w:r>
      <w:r w:rsidRPr="00107433">
        <w:t xml:space="preserve"> (2023</w:t>
      </w:r>
      <w:r>
        <w:t>a</w:t>
      </w:r>
      <w:r w:rsidRPr="00107433">
        <w:t>), Reimbursing Depositors now and in the Future, IADI Research Paper</w:t>
      </w:r>
      <w:r w:rsidRPr="00107433">
        <w:rPr>
          <w:i/>
          <w:iCs/>
        </w:rPr>
        <w:t xml:space="preserve">, </w:t>
      </w:r>
      <w:r w:rsidRPr="004D2C53">
        <w:rPr>
          <w:lang w:val="ru-RU"/>
        </w:rPr>
        <w:t>стр</w:t>
      </w:r>
      <w:r w:rsidRPr="00107433">
        <w:t>. 22.</w:t>
      </w:r>
      <w:bookmarkEnd w:id="58"/>
    </w:p>
  </w:footnote>
  <w:footnote w:id="23">
    <w:p w14:paraId="3CE3A622" w14:textId="491AF209" w:rsidR="00801394" w:rsidRDefault="00801394">
      <w:pPr>
        <w:pStyle w:val="a4"/>
        <w:tabs>
          <w:tab w:val="left" w:pos="187"/>
        </w:tabs>
      </w:pPr>
      <w:bookmarkStart w:id="59" w:name="bookmark22"/>
      <w:r>
        <w:rPr>
          <w:sz w:val="12"/>
          <w:szCs w:val="12"/>
          <w:vertAlign w:val="superscript"/>
        </w:rPr>
        <w:footnoteRef/>
      </w:r>
      <w:r>
        <w:rPr>
          <w:sz w:val="12"/>
          <w:szCs w:val="12"/>
        </w:rPr>
        <w:tab/>
      </w:r>
      <w:r>
        <w:t>IADI (2023a)</w:t>
      </w:r>
      <w:bookmarkEnd w:id="59"/>
    </w:p>
  </w:footnote>
  <w:footnote w:id="24">
    <w:p w14:paraId="046929B7" w14:textId="498F225D" w:rsidR="00801394" w:rsidRDefault="00801394">
      <w:pPr>
        <w:pStyle w:val="a4"/>
        <w:tabs>
          <w:tab w:val="left" w:pos="187"/>
        </w:tabs>
      </w:pPr>
      <w:bookmarkStart w:id="60" w:name="bookmark23"/>
      <w:r>
        <w:rPr>
          <w:sz w:val="12"/>
          <w:szCs w:val="12"/>
          <w:vertAlign w:val="superscript"/>
        </w:rPr>
        <w:footnoteRef/>
      </w:r>
      <w:r>
        <w:rPr>
          <w:sz w:val="12"/>
          <w:szCs w:val="12"/>
        </w:rPr>
        <w:tab/>
      </w:r>
      <w:r>
        <w:t xml:space="preserve">FSI, (2024), “FSI </w:t>
      </w:r>
      <w:proofErr w:type="gramStart"/>
      <w:r>
        <w:t>In</w:t>
      </w:r>
      <w:proofErr w:type="gramEnd"/>
      <w:r>
        <w:t xml:space="preserve"> Review 2023”,</w:t>
      </w:r>
      <w:hyperlink r:id="rId1" w:history="1">
        <w:r>
          <w:rPr>
            <w:color w:val="0075BC"/>
            <w:u w:val="single"/>
          </w:rPr>
          <w:t xml:space="preserve"> https://www.bis.org/fsi/fsi2023review.pdf.</w:t>
        </w:r>
        <w:bookmarkEnd w:id="60"/>
      </w:hyperlink>
    </w:p>
  </w:footnote>
  <w:footnote w:id="25">
    <w:p w14:paraId="51721045" w14:textId="77777777" w:rsidR="00801394" w:rsidRDefault="00801394">
      <w:pPr>
        <w:pStyle w:val="a4"/>
        <w:tabs>
          <w:tab w:val="left" w:pos="187"/>
        </w:tabs>
      </w:pPr>
      <w:bookmarkStart w:id="61" w:name="bookmark24"/>
      <w:r>
        <w:rPr>
          <w:sz w:val="12"/>
          <w:szCs w:val="12"/>
          <w:vertAlign w:val="superscript"/>
        </w:rPr>
        <w:footnoteRef/>
      </w:r>
      <w:r>
        <w:rPr>
          <w:sz w:val="12"/>
          <w:szCs w:val="12"/>
        </w:rPr>
        <w:tab/>
      </w:r>
      <w:r>
        <w:t>Ли, Йеджин Кэрол. The World Bank Crisis Simulation Exercise Handbook (English), p. 9.</w:t>
      </w:r>
      <w:bookmarkEnd w:id="61"/>
    </w:p>
  </w:footnote>
  <w:footnote w:id="26">
    <w:p w14:paraId="1FE70926" w14:textId="77777777" w:rsidR="00801394" w:rsidRPr="004D2C53" w:rsidRDefault="00801394">
      <w:pPr>
        <w:pStyle w:val="a4"/>
        <w:tabs>
          <w:tab w:val="left" w:pos="187"/>
        </w:tabs>
        <w:rPr>
          <w:lang w:val="ru-RU"/>
        </w:rPr>
      </w:pPr>
      <w:bookmarkStart w:id="62" w:name="bookmark25"/>
      <w:r>
        <w:rPr>
          <w:sz w:val="12"/>
          <w:szCs w:val="12"/>
          <w:vertAlign w:val="superscript"/>
        </w:rPr>
        <w:footnoteRef/>
      </w:r>
      <w:r w:rsidRPr="004D2C53">
        <w:rPr>
          <w:sz w:val="12"/>
          <w:szCs w:val="12"/>
          <w:lang w:val="ru-RU"/>
        </w:rPr>
        <w:tab/>
      </w:r>
      <w:r>
        <w:t>FSI</w:t>
      </w:r>
      <w:r w:rsidRPr="004D2C53">
        <w:rPr>
          <w:lang w:val="ru-RU"/>
        </w:rPr>
        <w:t>, 2021.</w:t>
      </w:r>
      <w:bookmarkEnd w:id="62"/>
    </w:p>
  </w:footnote>
  <w:footnote w:id="27">
    <w:p w14:paraId="7D56C7B9" w14:textId="6141E800" w:rsidR="00801394" w:rsidRPr="004D2C53" w:rsidRDefault="00801394">
      <w:pPr>
        <w:pStyle w:val="a4"/>
        <w:tabs>
          <w:tab w:val="left" w:pos="187"/>
        </w:tabs>
        <w:ind w:left="160" w:hanging="160"/>
        <w:rPr>
          <w:lang w:val="ru-RU"/>
        </w:rPr>
      </w:pPr>
      <w:bookmarkStart w:id="63" w:name="bookmark26"/>
      <w:r>
        <w:rPr>
          <w:sz w:val="12"/>
          <w:szCs w:val="12"/>
          <w:vertAlign w:val="superscript"/>
        </w:rPr>
        <w:footnoteRef/>
      </w:r>
      <w:r w:rsidRPr="004D2C53">
        <w:rPr>
          <w:sz w:val="12"/>
          <w:szCs w:val="12"/>
          <w:lang w:val="ru-RU"/>
        </w:rPr>
        <w:tab/>
      </w:r>
      <w:r w:rsidRPr="004D2C53">
        <w:rPr>
          <w:lang w:val="ru-RU"/>
        </w:rPr>
        <w:t xml:space="preserve">Среди участников были члены </w:t>
      </w:r>
      <w:r>
        <w:rPr>
          <w:lang w:val="ru-RU"/>
        </w:rPr>
        <w:t>IADI</w:t>
      </w:r>
      <w:r w:rsidRPr="004D2C53">
        <w:rPr>
          <w:lang w:val="ru-RU"/>
        </w:rPr>
        <w:t xml:space="preserve"> - </w:t>
      </w:r>
      <w:r>
        <w:t>FGC</w:t>
      </w:r>
      <w:r w:rsidRPr="004D2C53">
        <w:rPr>
          <w:lang w:val="ru-RU"/>
        </w:rPr>
        <w:t xml:space="preserve">-Бразилия, </w:t>
      </w:r>
      <w:r>
        <w:t>COPAB</w:t>
      </w:r>
      <w:r w:rsidRPr="004D2C53">
        <w:rPr>
          <w:lang w:val="ru-RU"/>
        </w:rPr>
        <w:t xml:space="preserve">-Уругвай, </w:t>
      </w:r>
      <w:r>
        <w:t>FOGAFIN</w:t>
      </w:r>
      <w:r w:rsidRPr="004D2C53">
        <w:rPr>
          <w:lang w:val="ru-RU"/>
        </w:rPr>
        <w:t xml:space="preserve">-Колумбия. В то время как </w:t>
      </w:r>
      <w:r>
        <w:t>FGC</w:t>
      </w:r>
      <w:r w:rsidRPr="004D2C53">
        <w:rPr>
          <w:lang w:val="ru-RU"/>
        </w:rPr>
        <w:t xml:space="preserve">-Бразилия имеет мандат </w:t>
      </w:r>
      <w:r>
        <w:t>pay</w:t>
      </w:r>
      <w:r w:rsidRPr="004D2C53">
        <w:rPr>
          <w:lang w:val="ru-RU"/>
        </w:rPr>
        <w:t>-</w:t>
      </w:r>
      <w:r>
        <w:t>box</w:t>
      </w:r>
      <w:r w:rsidRPr="004D2C53">
        <w:rPr>
          <w:lang w:val="ru-RU"/>
        </w:rPr>
        <w:t xml:space="preserve"> </w:t>
      </w:r>
      <w:r>
        <w:t>plus</w:t>
      </w:r>
      <w:r w:rsidRPr="004D2C53">
        <w:rPr>
          <w:lang w:val="ru-RU"/>
        </w:rPr>
        <w:t xml:space="preserve">, </w:t>
      </w:r>
      <w:r>
        <w:t>FOGAFIN</w:t>
      </w:r>
      <w:r w:rsidRPr="004D2C53">
        <w:rPr>
          <w:lang w:val="ru-RU"/>
        </w:rPr>
        <w:t xml:space="preserve">-Колумбия и </w:t>
      </w:r>
      <w:r>
        <w:t>COPAB</w:t>
      </w:r>
      <w:r w:rsidRPr="004D2C53">
        <w:rPr>
          <w:lang w:val="ru-RU"/>
        </w:rPr>
        <w:t xml:space="preserve">-Уругвай имеют мандаты </w:t>
      </w:r>
      <w:r>
        <w:t>loss</w:t>
      </w:r>
      <w:r w:rsidRPr="004D2C53">
        <w:rPr>
          <w:lang w:val="ru-RU"/>
        </w:rPr>
        <w:t xml:space="preserve"> </w:t>
      </w:r>
      <w:r>
        <w:t>minimiser</w:t>
      </w:r>
      <w:r w:rsidRPr="004D2C53">
        <w:rPr>
          <w:lang w:val="ru-RU"/>
        </w:rPr>
        <w:t>. Также были задействованы надзорные органы и центральные банки.</w:t>
      </w:r>
      <w:bookmarkEnd w:id="63"/>
    </w:p>
  </w:footnote>
  <w:footnote w:id="28">
    <w:p w14:paraId="30BEEC5E" w14:textId="7A0E10B4" w:rsidR="00801394" w:rsidRPr="00740174" w:rsidRDefault="00801394" w:rsidP="00740174">
      <w:pPr>
        <w:pStyle w:val="a4"/>
        <w:tabs>
          <w:tab w:val="left" w:pos="182"/>
        </w:tabs>
      </w:pPr>
      <w:bookmarkStart w:id="64" w:name="bookmark29"/>
      <w:r w:rsidRPr="00740174">
        <w:rPr>
          <w:vertAlign w:val="superscript"/>
        </w:rPr>
        <w:footnoteRef/>
      </w:r>
      <w:r w:rsidRPr="00740174">
        <w:rPr>
          <w:vertAlign w:val="superscript"/>
        </w:rPr>
        <w:t xml:space="preserve"> </w:t>
      </w:r>
      <w:r w:rsidRPr="00921E30">
        <w:t xml:space="preserve">FSI, (2024a), Cross-border crisis simulation in Latin America, </w:t>
      </w:r>
      <w:r>
        <w:rPr>
          <w:lang w:val="ru-RU"/>
        </w:rPr>
        <w:t>стр</w:t>
      </w:r>
      <w:r w:rsidRPr="00921E30">
        <w:t>.</w:t>
      </w:r>
      <w:r w:rsidRPr="00831EFD">
        <w:t xml:space="preserve"> </w:t>
      </w:r>
      <w:r w:rsidRPr="00921E30">
        <w:t>3.</w:t>
      </w:r>
    </w:p>
  </w:footnote>
  <w:footnote w:id="29">
    <w:p w14:paraId="2801F1D8" w14:textId="146C0BD5" w:rsidR="00801394" w:rsidRPr="00921E30" w:rsidRDefault="00801394">
      <w:pPr>
        <w:pStyle w:val="af0"/>
        <w:rPr>
          <w:lang w:val="ru-RU"/>
        </w:rPr>
      </w:pPr>
      <w:r w:rsidRPr="00921E30">
        <w:rPr>
          <w:rStyle w:val="af2"/>
          <w:rFonts w:ascii="Segoe UI" w:hAnsi="Segoe UI" w:cs="Segoe UI"/>
          <w:sz w:val="18"/>
          <w:szCs w:val="18"/>
        </w:rPr>
        <w:footnoteRef/>
      </w:r>
      <w:r>
        <w:t xml:space="preserve"> </w:t>
      </w:r>
      <w:r w:rsidRPr="00921E30">
        <w:rPr>
          <w:rFonts w:ascii="Segoe UI" w:eastAsia="Segoe UI" w:hAnsi="Segoe UI" w:cs="Segoe UI"/>
          <w:sz w:val="18"/>
          <w:szCs w:val="18"/>
          <w:lang w:val="pt-PT"/>
        </w:rPr>
        <w:t>FSI (2024a), стр. 4</w:t>
      </w:r>
    </w:p>
  </w:footnote>
  <w:footnote w:id="30">
    <w:p w14:paraId="4768CE90" w14:textId="135711D9" w:rsidR="00801394" w:rsidRPr="00740174" w:rsidRDefault="00801394">
      <w:pPr>
        <w:pStyle w:val="a4"/>
        <w:tabs>
          <w:tab w:val="left" w:pos="182"/>
        </w:tabs>
        <w:rPr>
          <w:lang w:val="pt-PT"/>
        </w:rPr>
      </w:pPr>
      <w:r w:rsidRPr="00740174">
        <w:rPr>
          <w:vertAlign w:val="superscript"/>
        </w:rPr>
        <w:footnoteRef/>
      </w:r>
      <w:r w:rsidRPr="00740174">
        <w:rPr>
          <w:lang w:val="pt-PT"/>
        </w:rPr>
        <w:tab/>
      </w:r>
      <w:r w:rsidRPr="00740174">
        <w:rPr>
          <w:lang w:val="pt-PT"/>
        </w:rPr>
        <w:t xml:space="preserve">FSI (2024a), </w:t>
      </w:r>
      <w:r w:rsidRPr="00740174">
        <w:t>стр</w:t>
      </w:r>
      <w:r w:rsidRPr="00740174">
        <w:rPr>
          <w:lang w:val="pt-PT"/>
        </w:rPr>
        <w:t>. 4</w:t>
      </w:r>
    </w:p>
  </w:footnote>
  <w:footnote w:id="31">
    <w:p w14:paraId="1AC9558A" w14:textId="7C14C2E4" w:rsidR="00801394" w:rsidRPr="00740174" w:rsidRDefault="00801394">
      <w:pPr>
        <w:pStyle w:val="a4"/>
        <w:tabs>
          <w:tab w:val="left" w:pos="182"/>
        </w:tabs>
        <w:rPr>
          <w:lang w:val="pt-PT"/>
        </w:rPr>
      </w:pPr>
      <w:bookmarkStart w:id="65" w:name="bookmark30"/>
      <w:r w:rsidRPr="00740174">
        <w:rPr>
          <w:vertAlign w:val="superscript"/>
        </w:rPr>
        <w:footnoteRef/>
      </w:r>
      <w:r w:rsidRPr="00740174">
        <w:rPr>
          <w:lang w:val="pt-PT"/>
        </w:rPr>
        <w:tab/>
        <w:t xml:space="preserve">FSI (2024a), </w:t>
      </w:r>
      <w:r w:rsidRPr="00740174">
        <w:rPr>
          <w:lang w:val="ru-RU"/>
        </w:rPr>
        <w:t>стр</w:t>
      </w:r>
      <w:r w:rsidRPr="00740174">
        <w:rPr>
          <w:lang w:val="pt-PT"/>
        </w:rPr>
        <w:t>. 6.</w:t>
      </w:r>
      <w:bookmarkEnd w:id="65"/>
    </w:p>
  </w:footnote>
  <w:footnote w:id="32">
    <w:p w14:paraId="38E33FD6" w14:textId="0A25CBB0" w:rsidR="00801394" w:rsidRPr="00740174" w:rsidRDefault="00801394">
      <w:pPr>
        <w:pStyle w:val="a4"/>
        <w:tabs>
          <w:tab w:val="left" w:pos="182"/>
        </w:tabs>
        <w:jc w:val="both"/>
      </w:pPr>
      <w:bookmarkStart w:id="66" w:name="bookmark31"/>
      <w:r w:rsidRPr="00740174">
        <w:rPr>
          <w:vertAlign w:val="superscript"/>
        </w:rPr>
        <w:footnoteRef/>
      </w:r>
      <w:r w:rsidRPr="00740174">
        <w:tab/>
        <w:t xml:space="preserve">FSI (2023), Cross-border crisis simulation in sub-Saharan Africa, </w:t>
      </w:r>
      <w:r w:rsidRPr="00740174">
        <w:rPr>
          <w:lang w:val="ru-RU"/>
        </w:rPr>
        <w:t>стр</w:t>
      </w:r>
      <w:r w:rsidRPr="00740174">
        <w:t>. 3.</w:t>
      </w:r>
      <w:bookmarkEnd w:id="66"/>
    </w:p>
  </w:footnote>
  <w:footnote w:id="33">
    <w:p w14:paraId="0114D122" w14:textId="77777777" w:rsidR="00801394" w:rsidRPr="00740174" w:rsidRDefault="00801394">
      <w:pPr>
        <w:pStyle w:val="a4"/>
        <w:tabs>
          <w:tab w:val="left" w:pos="182"/>
        </w:tabs>
        <w:rPr>
          <w:lang w:val="ru-RU"/>
        </w:rPr>
      </w:pPr>
      <w:bookmarkStart w:id="67" w:name="bookmark32"/>
      <w:r w:rsidRPr="00740174">
        <w:rPr>
          <w:vertAlign w:val="superscript"/>
        </w:rPr>
        <w:footnoteRef/>
      </w:r>
      <w:r w:rsidRPr="00740174">
        <w:rPr>
          <w:lang w:val="ru-RU"/>
        </w:rPr>
        <w:tab/>
      </w:r>
      <w:r w:rsidRPr="00740174">
        <w:t>FSI</w:t>
      </w:r>
      <w:r w:rsidRPr="00740174">
        <w:rPr>
          <w:lang w:val="ru-RU"/>
        </w:rPr>
        <w:t xml:space="preserve"> (2023), стр. 16.</w:t>
      </w:r>
      <w:bookmarkEnd w:id="67"/>
    </w:p>
  </w:footnote>
  <w:footnote w:id="34">
    <w:p w14:paraId="16A7B768" w14:textId="4AB7D9A7" w:rsidR="00801394" w:rsidRPr="004D2C53" w:rsidRDefault="00801394">
      <w:pPr>
        <w:pStyle w:val="a4"/>
        <w:tabs>
          <w:tab w:val="left" w:pos="182"/>
        </w:tabs>
        <w:rPr>
          <w:lang w:val="ru-RU"/>
        </w:rPr>
      </w:pPr>
      <w:bookmarkStart w:id="68" w:name="bookmark33"/>
      <w:r w:rsidRPr="00740174">
        <w:rPr>
          <w:vertAlign w:val="superscript"/>
        </w:rPr>
        <w:footnoteRef/>
      </w:r>
      <w:r w:rsidRPr="00740174">
        <w:rPr>
          <w:lang w:val="ru-RU"/>
        </w:rPr>
        <w:tab/>
      </w:r>
      <w:r w:rsidRPr="00740174">
        <w:t>FSI</w:t>
      </w:r>
      <w:r w:rsidRPr="00740174">
        <w:rPr>
          <w:lang w:val="ru-RU"/>
        </w:rPr>
        <w:t xml:space="preserve"> (2023), стр. 5.</w:t>
      </w:r>
      <w:bookmarkEnd w:id="68"/>
    </w:p>
  </w:footnote>
  <w:footnote w:id="35">
    <w:p w14:paraId="3B33D125" w14:textId="3D9C0F51" w:rsidR="00801394" w:rsidRPr="004D2C53" w:rsidRDefault="00801394" w:rsidP="009F157D">
      <w:pPr>
        <w:pStyle w:val="a4"/>
        <w:tabs>
          <w:tab w:val="left" w:pos="168"/>
        </w:tabs>
        <w:jc w:val="both"/>
        <w:rPr>
          <w:lang w:val="ru-RU"/>
        </w:rPr>
      </w:pPr>
      <w:bookmarkStart w:id="69" w:name="bookmark34"/>
      <w:r>
        <w:rPr>
          <w:sz w:val="12"/>
          <w:szCs w:val="12"/>
          <w:vertAlign w:val="superscript"/>
        </w:rPr>
        <w:footnoteRef/>
      </w:r>
      <w:r w:rsidRPr="004D2C53">
        <w:rPr>
          <w:sz w:val="12"/>
          <w:szCs w:val="12"/>
          <w:lang w:val="ru-RU"/>
        </w:rPr>
        <w:tab/>
      </w:r>
      <w:r w:rsidRPr="004D2C53">
        <w:rPr>
          <w:lang w:val="ru-RU"/>
        </w:rPr>
        <w:t>Албанский фонд страхования вкладов (2022), Годовой отчет за 2021 год, с</w:t>
      </w:r>
      <w:r>
        <w:rPr>
          <w:lang w:val="ru-RU"/>
        </w:rPr>
        <w:t>тр</w:t>
      </w:r>
      <w:r w:rsidRPr="004D2C53">
        <w:rPr>
          <w:lang w:val="ru-RU"/>
        </w:rPr>
        <w:t>.</w:t>
      </w:r>
      <w:r>
        <w:rPr>
          <w:lang w:val="ru-RU"/>
        </w:rPr>
        <w:t xml:space="preserve"> </w:t>
      </w:r>
      <w:r w:rsidRPr="004D2C53">
        <w:rPr>
          <w:lang w:val="ru-RU"/>
        </w:rPr>
        <w:t>51.</w:t>
      </w:r>
      <w:bookmarkEnd w:id="69"/>
    </w:p>
  </w:footnote>
  <w:footnote w:id="36">
    <w:p w14:paraId="4DEB5EE8" w14:textId="77777777" w:rsidR="00801394" w:rsidRPr="004D2C53" w:rsidRDefault="00801394" w:rsidP="009F157D">
      <w:pPr>
        <w:pStyle w:val="a4"/>
        <w:tabs>
          <w:tab w:val="left" w:pos="173"/>
        </w:tabs>
        <w:ind w:left="160" w:hanging="160"/>
        <w:jc w:val="both"/>
        <w:rPr>
          <w:lang w:val="ru-RU"/>
        </w:rPr>
      </w:pPr>
      <w:bookmarkStart w:id="77" w:name="bookmark35"/>
      <w:r>
        <w:rPr>
          <w:sz w:val="12"/>
          <w:szCs w:val="12"/>
          <w:vertAlign w:val="superscript"/>
        </w:rPr>
        <w:footnoteRef/>
      </w:r>
      <w:r w:rsidRPr="004D2C53">
        <w:rPr>
          <w:sz w:val="12"/>
          <w:szCs w:val="12"/>
          <w:lang w:val="ru-RU"/>
        </w:rPr>
        <w:tab/>
      </w:r>
      <w:r w:rsidRPr="004D2C53">
        <w:rPr>
          <w:lang w:val="ru-RU"/>
        </w:rPr>
        <w:t>Рабочая группа получила в общей сложности 21 ответ, два из которых были опущены, поскольку они не предоставили достаточной информации. Таким образом, анализ проводится на основе 19 заполненных ответов.</w:t>
      </w:r>
      <w:bookmarkEnd w:id="77"/>
    </w:p>
  </w:footnote>
  <w:footnote w:id="37">
    <w:p w14:paraId="120D2ED6" w14:textId="5FE03546" w:rsidR="00801394" w:rsidRPr="009F157D" w:rsidRDefault="00801394" w:rsidP="009F157D">
      <w:pPr>
        <w:pStyle w:val="af0"/>
        <w:jc w:val="both"/>
        <w:rPr>
          <w:rFonts w:ascii="Segoe UI" w:hAnsi="Segoe UI" w:cs="Segoe UI"/>
          <w:sz w:val="18"/>
          <w:szCs w:val="18"/>
          <w:lang w:val="ru-RU"/>
        </w:rPr>
      </w:pPr>
      <w:r w:rsidRPr="009F157D">
        <w:rPr>
          <w:rStyle w:val="af2"/>
          <w:rFonts w:ascii="Segoe UI" w:hAnsi="Segoe UI" w:cs="Segoe UI"/>
          <w:sz w:val="18"/>
          <w:szCs w:val="18"/>
        </w:rPr>
        <w:footnoteRef/>
      </w:r>
      <w:r w:rsidRPr="009F157D">
        <w:rPr>
          <w:rFonts w:ascii="Segoe UI" w:hAnsi="Segoe UI" w:cs="Segoe UI"/>
          <w:sz w:val="18"/>
          <w:szCs w:val="18"/>
          <w:lang w:val="ru-RU"/>
        </w:rPr>
        <w:t xml:space="preserve"> Директива 2014/49/</w:t>
      </w:r>
      <w:r w:rsidRPr="009F157D">
        <w:rPr>
          <w:rFonts w:ascii="Segoe UI" w:hAnsi="Segoe UI" w:cs="Segoe UI"/>
          <w:sz w:val="18"/>
          <w:szCs w:val="18"/>
        </w:rPr>
        <w:t>EU</w:t>
      </w:r>
      <w:r w:rsidRPr="009F157D">
        <w:rPr>
          <w:rFonts w:ascii="Segoe UI" w:hAnsi="Segoe UI" w:cs="Segoe UI"/>
          <w:sz w:val="18"/>
          <w:szCs w:val="18"/>
          <w:lang w:val="ru-RU"/>
        </w:rPr>
        <w:t xml:space="preserve"> о </w:t>
      </w:r>
      <w:r>
        <w:rPr>
          <w:rFonts w:ascii="Segoe UI" w:hAnsi="Segoe UI" w:cs="Segoe UI"/>
          <w:sz w:val="18"/>
          <w:szCs w:val="18"/>
          <w:lang w:val="ru-RU"/>
        </w:rPr>
        <w:t>системах страхования вкладов</w:t>
      </w:r>
      <w:r w:rsidRPr="009F157D">
        <w:rPr>
          <w:rFonts w:ascii="Segoe UI" w:hAnsi="Segoe UI" w:cs="Segoe UI"/>
          <w:sz w:val="18"/>
          <w:szCs w:val="18"/>
          <w:lang w:val="ru-RU"/>
        </w:rPr>
        <w:t xml:space="preserve"> (</w:t>
      </w:r>
      <w:r w:rsidRPr="00BF6B4B">
        <w:rPr>
          <w:rFonts w:ascii="Segoe UI" w:hAnsi="Segoe UI" w:cs="Segoe UI"/>
          <w:sz w:val="18"/>
          <w:szCs w:val="18"/>
          <w:lang w:val="ru-RU"/>
        </w:rPr>
        <w:t>DGSD)</w:t>
      </w:r>
      <w:r w:rsidRPr="009F157D">
        <w:rPr>
          <w:rFonts w:ascii="Segoe UI" w:hAnsi="Segoe UI" w:cs="Segoe UI"/>
          <w:sz w:val="18"/>
          <w:szCs w:val="18"/>
          <w:lang w:val="ru-RU"/>
        </w:rPr>
        <w:t xml:space="preserve">) ввела ряд нововведений для повышения устойчивости </w:t>
      </w:r>
      <w:r>
        <w:rPr>
          <w:rFonts w:ascii="Segoe UI" w:hAnsi="Segoe UI" w:cs="Segoe UI"/>
          <w:sz w:val="18"/>
          <w:szCs w:val="18"/>
          <w:lang w:val="ru-RU"/>
        </w:rPr>
        <w:t>систем</w:t>
      </w:r>
      <w:r w:rsidRPr="009F157D">
        <w:rPr>
          <w:rFonts w:ascii="Segoe UI" w:hAnsi="Segoe UI" w:cs="Segoe UI"/>
          <w:sz w:val="18"/>
          <w:szCs w:val="18"/>
          <w:lang w:val="ru-RU"/>
        </w:rPr>
        <w:t xml:space="preserve"> </w:t>
      </w:r>
      <w:r>
        <w:rPr>
          <w:rFonts w:ascii="Segoe UI" w:hAnsi="Segoe UI" w:cs="Segoe UI"/>
          <w:sz w:val="18"/>
          <w:szCs w:val="18"/>
          <w:lang w:val="ru-RU"/>
        </w:rPr>
        <w:t>страхования</w:t>
      </w:r>
      <w:r w:rsidRPr="009F157D">
        <w:rPr>
          <w:rFonts w:ascii="Segoe UI" w:hAnsi="Segoe UI" w:cs="Segoe UI"/>
          <w:sz w:val="18"/>
          <w:szCs w:val="18"/>
          <w:lang w:val="ru-RU"/>
        </w:rPr>
        <w:t xml:space="preserve"> </w:t>
      </w:r>
      <w:r>
        <w:rPr>
          <w:rFonts w:ascii="Segoe UI" w:hAnsi="Segoe UI" w:cs="Segoe UI"/>
          <w:sz w:val="18"/>
          <w:szCs w:val="18"/>
          <w:lang w:val="ru-RU"/>
        </w:rPr>
        <w:t>вкладов</w:t>
      </w:r>
      <w:r w:rsidRPr="009F157D">
        <w:rPr>
          <w:rFonts w:ascii="Segoe UI" w:hAnsi="Segoe UI" w:cs="Segoe UI"/>
          <w:sz w:val="18"/>
          <w:szCs w:val="18"/>
          <w:lang w:val="ru-RU"/>
        </w:rPr>
        <w:t xml:space="preserve"> (</w:t>
      </w:r>
      <w:r>
        <w:rPr>
          <w:rFonts w:ascii="Segoe UI" w:hAnsi="Segoe UI" w:cs="Segoe UI"/>
          <w:sz w:val="18"/>
          <w:szCs w:val="18"/>
          <w:lang w:val="ru-RU"/>
        </w:rPr>
        <w:t>ССВ</w:t>
      </w:r>
      <w:r w:rsidRPr="009F157D">
        <w:rPr>
          <w:rFonts w:ascii="Segoe UI" w:hAnsi="Segoe UI" w:cs="Segoe UI"/>
          <w:sz w:val="18"/>
          <w:szCs w:val="18"/>
          <w:lang w:val="ru-RU"/>
        </w:rPr>
        <w:t xml:space="preserve">) в Европе, включая требование к </w:t>
      </w:r>
      <w:r>
        <w:rPr>
          <w:rFonts w:ascii="Segoe UI" w:hAnsi="Segoe UI" w:cs="Segoe UI"/>
          <w:sz w:val="18"/>
          <w:szCs w:val="18"/>
          <w:lang w:val="ru-RU"/>
        </w:rPr>
        <w:t>ССВ</w:t>
      </w:r>
      <w:r w:rsidRPr="009F157D">
        <w:rPr>
          <w:rFonts w:ascii="Segoe UI" w:hAnsi="Segoe UI" w:cs="Segoe UI"/>
          <w:sz w:val="18"/>
          <w:szCs w:val="18"/>
          <w:lang w:val="ru-RU"/>
        </w:rPr>
        <w:t xml:space="preserve"> проводить стресс-тесты каждые три года, причем первый тест должен быть проведен до 3 июля 2017 года.</w:t>
      </w:r>
    </w:p>
  </w:footnote>
  <w:footnote w:id="38">
    <w:p w14:paraId="2AF60389" w14:textId="12D6AABF" w:rsidR="00801394" w:rsidRPr="00831EFD" w:rsidRDefault="00801394" w:rsidP="0012144B">
      <w:pPr>
        <w:pStyle w:val="a4"/>
        <w:tabs>
          <w:tab w:val="left" w:pos="182"/>
        </w:tabs>
        <w:rPr>
          <w:sz w:val="16"/>
          <w:szCs w:val="16"/>
          <w:lang w:val="ru-RU"/>
        </w:rPr>
      </w:pPr>
      <w:r w:rsidRPr="006B46C7">
        <w:rPr>
          <w:sz w:val="16"/>
          <w:szCs w:val="16"/>
          <w:vertAlign w:val="superscript"/>
        </w:rPr>
        <w:footnoteRef/>
      </w:r>
      <w:r w:rsidRPr="006B46C7"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>IADI</w:t>
      </w:r>
      <w:r w:rsidRPr="006B46C7">
        <w:rPr>
          <w:sz w:val="16"/>
          <w:szCs w:val="16"/>
          <w:lang w:val="ru-RU"/>
        </w:rPr>
        <w:t xml:space="preserve">, </w:t>
      </w:r>
      <w:r>
        <w:rPr>
          <w:sz w:val="16"/>
          <w:szCs w:val="16"/>
          <w:lang w:val="ru-RU"/>
        </w:rPr>
        <w:t>“</w:t>
      </w:r>
      <w:r w:rsidRPr="006B46C7">
        <w:rPr>
          <w:sz w:val="16"/>
          <w:szCs w:val="16"/>
          <w:lang w:val="ru-RU"/>
        </w:rPr>
        <w:t>Тестирование планов действий в чрезвычайных ситуациях в Северной Америке</w:t>
      </w:r>
      <w:r>
        <w:rPr>
          <w:sz w:val="16"/>
          <w:szCs w:val="16"/>
          <w:lang w:val="ru-RU"/>
        </w:rPr>
        <w:t>” (2021), стр. 17-18</w:t>
      </w:r>
    </w:p>
  </w:footnote>
  <w:footnote w:id="39">
    <w:p w14:paraId="179FE7D5" w14:textId="2F6C34CB" w:rsidR="00801394" w:rsidRPr="00CA5792" w:rsidRDefault="00801394" w:rsidP="00CA5792">
      <w:pPr>
        <w:pStyle w:val="Default"/>
      </w:pPr>
      <w:r w:rsidRPr="00CA5792">
        <w:rPr>
          <w:rStyle w:val="af2"/>
          <w:sz w:val="18"/>
          <w:szCs w:val="18"/>
        </w:rPr>
        <w:footnoteRef/>
      </w:r>
      <w:r w:rsidRPr="00CA5792">
        <w:t xml:space="preserve"> </w:t>
      </w:r>
      <w:r>
        <w:rPr>
          <w:rFonts w:eastAsia="Segoe UI"/>
          <w:sz w:val="16"/>
          <w:szCs w:val="16"/>
          <w:lang w:bidi="en-US"/>
        </w:rPr>
        <w:t>Подразумевается</w:t>
      </w:r>
      <w:r w:rsidRPr="00CA5792">
        <w:rPr>
          <w:rFonts w:eastAsia="Segoe UI"/>
          <w:sz w:val="16"/>
          <w:szCs w:val="16"/>
          <w:lang w:bidi="en-US"/>
        </w:rPr>
        <w:t xml:space="preserve"> CMD.</w:t>
      </w:r>
    </w:p>
  </w:footnote>
  <w:footnote w:id="40">
    <w:p w14:paraId="645138D0" w14:textId="77777777" w:rsidR="00801394" w:rsidRPr="004D2C53" w:rsidRDefault="00801394">
      <w:pPr>
        <w:pStyle w:val="a4"/>
        <w:tabs>
          <w:tab w:val="left" w:pos="192"/>
        </w:tabs>
        <w:rPr>
          <w:lang w:val="ru-RU"/>
        </w:rPr>
      </w:pPr>
      <w:r>
        <w:rPr>
          <w:sz w:val="12"/>
          <w:szCs w:val="12"/>
          <w:vertAlign w:val="superscript"/>
        </w:rPr>
        <w:footnoteRef/>
      </w:r>
      <w:r w:rsidRPr="004D2C53">
        <w:rPr>
          <w:sz w:val="12"/>
          <w:szCs w:val="12"/>
          <w:lang w:val="ru-RU"/>
        </w:rPr>
        <w:tab/>
      </w:r>
      <w:r w:rsidRPr="004D2C53">
        <w:rPr>
          <w:lang w:val="ru-RU"/>
        </w:rPr>
        <w:t>Европейское банковское управление (2023), Окончательный отчет по пересмотренному руководству по стресс-тестам РГС.</w:t>
      </w:r>
    </w:p>
  </w:footnote>
  <w:footnote w:id="41">
    <w:p w14:paraId="1AFD687E" w14:textId="77777777" w:rsidR="00801394" w:rsidRPr="004D2C53" w:rsidRDefault="00801394">
      <w:pPr>
        <w:pStyle w:val="a4"/>
        <w:tabs>
          <w:tab w:val="left" w:pos="187"/>
        </w:tabs>
        <w:ind w:left="140" w:hanging="140"/>
        <w:rPr>
          <w:lang w:val="ru-RU"/>
        </w:rPr>
      </w:pPr>
      <w:bookmarkStart w:id="90" w:name="bookmark40"/>
      <w:r>
        <w:rPr>
          <w:sz w:val="12"/>
          <w:szCs w:val="12"/>
          <w:vertAlign w:val="superscript"/>
        </w:rPr>
        <w:footnoteRef/>
      </w:r>
      <w:r w:rsidRPr="004D2C53">
        <w:rPr>
          <w:sz w:val="12"/>
          <w:szCs w:val="12"/>
          <w:lang w:val="ru-RU"/>
        </w:rPr>
        <w:tab/>
      </w:r>
      <w:r w:rsidRPr="004D2C53">
        <w:rPr>
          <w:lang w:val="ru-RU"/>
        </w:rPr>
        <w:t>Наблюдения, сделанные в обзоре литературы по региональным примерам учений, свидетельствуют о растущем внимании к вопросам готовности к кризису и тестирования управления в разных странах. Институт финансовой стабильности сыграл важную роль в организации таких учений в Латинской Америке, Азии и Африке к югу от Сахары.</w:t>
      </w:r>
      <w:bookmarkEnd w:id="90"/>
    </w:p>
  </w:footnote>
  <w:footnote w:id="42">
    <w:p w14:paraId="069E76F4" w14:textId="0E7095A7" w:rsidR="00801394" w:rsidRPr="004D2C53" w:rsidRDefault="00801394">
      <w:pPr>
        <w:pStyle w:val="a4"/>
        <w:tabs>
          <w:tab w:val="left" w:pos="192"/>
        </w:tabs>
        <w:rPr>
          <w:lang w:val="ru-RU"/>
        </w:rPr>
      </w:pPr>
      <w:bookmarkStart w:id="91" w:name="bookmark41"/>
      <w:r>
        <w:rPr>
          <w:sz w:val="12"/>
          <w:szCs w:val="12"/>
          <w:vertAlign w:val="superscript"/>
        </w:rPr>
        <w:footnoteRef/>
      </w:r>
      <w:r w:rsidRPr="004D2C53">
        <w:rPr>
          <w:sz w:val="12"/>
          <w:szCs w:val="12"/>
          <w:lang w:val="ru-RU"/>
        </w:rPr>
        <w:tab/>
      </w:r>
      <w:r>
        <w:rPr>
          <w:lang w:val="ru-RU"/>
        </w:rPr>
        <w:t>IADI</w:t>
      </w:r>
      <w:r w:rsidRPr="004D2C53">
        <w:rPr>
          <w:lang w:val="ru-RU"/>
        </w:rPr>
        <w:t xml:space="preserve"> (2023), с.51.</w:t>
      </w:r>
      <w:bookmarkEnd w:id="91"/>
    </w:p>
  </w:footnote>
  <w:footnote w:id="43">
    <w:p w14:paraId="18B11E5E" w14:textId="3A6BA274" w:rsidR="00801394" w:rsidRPr="006B46C7" w:rsidRDefault="00801394" w:rsidP="006B46C7">
      <w:pPr>
        <w:pStyle w:val="22"/>
        <w:tabs>
          <w:tab w:val="left" w:pos="255"/>
        </w:tabs>
        <w:spacing w:after="520"/>
        <w:rPr>
          <w:lang w:val="ru-RU"/>
        </w:rPr>
      </w:pPr>
      <w:r>
        <w:rPr>
          <w:rStyle w:val="af2"/>
        </w:rPr>
        <w:footnoteRef/>
      </w:r>
      <w:r>
        <w:rPr>
          <w:lang w:val="ru-RU"/>
        </w:rPr>
        <w:t xml:space="preserve"> </w:t>
      </w:r>
      <w:r w:rsidRPr="00E56388">
        <w:rPr>
          <w:lang w:val="ru-RU"/>
        </w:rPr>
        <w:t xml:space="preserve">В 2021 году в PIDM насчитывалось 176 сотрудников. В 2022 году в связи с ростом готовности к кризисным ситуациям и тестированием системы управления </w:t>
      </w:r>
      <w:r w:rsidRPr="00E56388">
        <w:t>CMD</w:t>
      </w:r>
      <w:r w:rsidRPr="00E56388">
        <w:rPr>
          <w:lang w:val="ru-RU"/>
        </w:rPr>
        <w:t xml:space="preserve"> выросла до 5 человек.</w:t>
      </w:r>
    </w:p>
  </w:footnote>
  <w:footnote w:id="44">
    <w:p w14:paraId="08462591" w14:textId="7F48925A" w:rsidR="00801394" w:rsidRPr="004D2C53" w:rsidRDefault="00801394">
      <w:pPr>
        <w:pStyle w:val="a4"/>
        <w:tabs>
          <w:tab w:val="left" w:pos="192"/>
        </w:tabs>
        <w:jc w:val="both"/>
        <w:rPr>
          <w:lang w:val="ru-RU"/>
        </w:rPr>
      </w:pPr>
      <w:r w:rsidRPr="00C96D47">
        <w:rPr>
          <w:rStyle w:val="af2"/>
          <w:rFonts w:eastAsia="Arial Unicode MS"/>
          <w:szCs w:val="20"/>
        </w:rPr>
        <w:footnoteRef/>
      </w:r>
      <w:r>
        <w:rPr>
          <w:sz w:val="12"/>
          <w:szCs w:val="12"/>
          <w:shd w:val="clear" w:color="auto" w:fill="FFFFFF"/>
          <w:vertAlign w:val="superscript"/>
          <w:lang w:val="ru-RU"/>
        </w:rPr>
        <w:t xml:space="preserve"> </w:t>
      </w:r>
      <w:r w:rsidRPr="004D2C53">
        <w:rPr>
          <w:lang w:val="ru-RU"/>
        </w:rPr>
        <w:t xml:space="preserve">Восемь респондентов (из 14, ответивших на вопрос) пережили </w:t>
      </w:r>
      <w:r>
        <w:rPr>
          <w:lang w:val="ru-RU"/>
        </w:rPr>
        <w:t>банкротство</w:t>
      </w:r>
      <w:r w:rsidRPr="004D2C53">
        <w:rPr>
          <w:lang w:val="ru-RU"/>
        </w:rPr>
        <w:t xml:space="preserve"> в течение последних 10 лет. Промежуток времени между последним сбоем и предшествующим тестированием у большинства из них был в пределах одного года.</w:t>
      </w:r>
    </w:p>
  </w:footnote>
  <w:footnote w:id="45">
    <w:p w14:paraId="4B1FC152" w14:textId="776D2100" w:rsidR="00801394" w:rsidRPr="00186471" w:rsidRDefault="00801394" w:rsidP="006B46C7">
      <w:pPr>
        <w:pStyle w:val="af0"/>
        <w:jc w:val="both"/>
        <w:rPr>
          <w:rFonts w:ascii="Segoe UI" w:hAnsi="Segoe UI" w:cs="Segoe UI"/>
          <w:sz w:val="16"/>
          <w:szCs w:val="16"/>
          <w:lang w:val="ru-RU"/>
        </w:rPr>
      </w:pPr>
      <w:r w:rsidRPr="00186471">
        <w:rPr>
          <w:rStyle w:val="af2"/>
          <w:rFonts w:ascii="Segoe UI" w:hAnsi="Segoe UI" w:cs="Segoe UI"/>
          <w:sz w:val="16"/>
          <w:szCs w:val="16"/>
        </w:rPr>
        <w:footnoteRef/>
      </w:r>
      <w:r w:rsidRPr="00186471">
        <w:rPr>
          <w:rFonts w:ascii="Segoe UI" w:hAnsi="Segoe UI" w:cs="Segoe UI"/>
          <w:sz w:val="16"/>
          <w:szCs w:val="16"/>
          <w:lang w:val="ru-RU"/>
        </w:rPr>
        <w:t xml:space="preserve"> В DNB есть специальная команда по ССВ, которая работает над подготовкой к адекватной и своевременной выплате вкладов. Эта команда является частью отдела урегулирования несостоятельности и состоит из 12 сотрудников. В случае банкротства банка команда ССВ инициирует организацию выплат. Она включает в себя необходимую структуру управления (для руководства и принятия решений) и организацию по выплатам ССВ. Организация по выплатам ССВ состоит из различных рабочих процессов, в которые входят сотрудники различных подразделений DNB, таких как отдел коммуникаций, отдел данных и информационных технологий, отдел внутренних операций и юридический отдел.</w:t>
      </w:r>
    </w:p>
  </w:footnote>
  <w:footnote w:id="46">
    <w:p w14:paraId="418B5700" w14:textId="35194614" w:rsidR="00801394" w:rsidRPr="006B46C7" w:rsidRDefault="00801394" w:rsidP="0081561E">
      <w:pPr>
        <w:pStyle w:val="a4"/>
        <w:tabs>
          <w:tab w:val="left" w:pos="192"/>
        </w:tabs>
        <w:rPr>
          <w:lang w:val="ru-RU"/>
        </w:rPr>
      </w:pPr>
      <w:r>
        <w:rPr>
          <w:rStyle w:val="af2"/>
        </w:rPr>
        <w:footnoteRef/>
      </w:r>
      <w:r w:rsidRPr="006B46C7">
        <w:rPr>
          <w:lang w:val="ru-RU"/>
        </w:rPr>
        <w:t xml:space="preserve"> </w:t>
      </w:r>
      <w:r w:rsidRPr="004D2C53">
        <w:rPr>
          <w:lang w:val="ru-RU"/>
        </w:rPr>
        <w:t>Ссылка на информационный бюллетень АТБ:</w:t>
      </w:r>
      <w:hyperlink r:id="rId2" w:history="1">
        <w:r w:rsidRPr="004D2C53">
          <w:rPr>
            <w:color w:val="0075BC"/>
            <w:u w:val="single"/>
            <w:lang w:val="ru-RU"/>
          </w:rPr>
          <w:t xml:space="preserve"> </w:t>
        </w:r>
        <w:r w:rsidRPr="001B33EA">
          <w:rPr>
            <w:color w:val="0075BC"/>
            <w:u w:val="single"/>
          </w:rPr>
          <w:t>https</w:t>
        </w:r>
        <w:r w:rsidRPr="001B33EA">
          <w:rPr>
            <w:color w:val="0075BC"/>
            <w:u w:val="single"/>
            <w:lang w:val="ru-RU"/>
          </w:rPr>
          <w:t>://</w:t>
        </w:r>
        <w:r w:rsidRPr="001B33EA">
          <w:rPr>
            <w:color w:val="0075BC"/>
            <w:u w:val="single"/>
          </w:rPr>
          <w:t>www</w:t>
        </w:r>
        <w:r w:rsidRPr="001B33EA">
          <w:rPr>
            <w:color w:val="0075BC"/>
            <w:u w:val="single"/>
            <w:lang w:val="ru-RU"/>
          </w:rPr>
          <w:t>.</w:t>
        </w:r>
        <w:r w:rsidRPr="001B33EA">
          <w:rPr>
            <w:color w:val="0075BC"/>
            <w:u w:val="single"/>
          </w:rPr>
          <w:t>dnb</w:t>
        </w:r>
        <w:r w:rsidRPr="001B33EA">
          <w:rPr>
            <w:color w:val="0075BC"/>
            <w:u w:val="single"/>
            <w:lang w:val="ru-RU"/>
          </w:rPr>
          <w:t>.</w:t>
        </w:r>
        <w:r w:rsidRPr="001B33EA">
          <w:rPr>
            <w:color w:val="0075BC"/>
            <w:u w:val="single"/>
          </w:rPr>
          <w:t>nl</w:t>
        </w:r>
        <w:r w:rsidRPr="001B33EA">
          <w:rPr>
            <w:color w:val="0075BC"/>
            <w:u w:val="single"/>
            <w:lang w:val="ru-RU"/>
          </w:rPr>
          <w:t>/</w:t>
        </w:r>
        <w:r w:rsidRPr="001B33EA">
          <w:rPr>
            <w:color w:val="0075BC"/>
            <w:u w:val="single"/>
          </w:rPr>
          <w:t>media</w:t>
        </w:r>
        <w:r w:rsidRPr="001B33EA">
          <w:rPr>
            <w:color w:val="0075BC"/>
            <w:u w:val="single"/>
            <w:lang w:val="ru-RU"/>
          </w:rPr>
          <w:t>/</w:t>
        </w:r>
        <w:r w:rsidRPr="001B33EA">
          <w:rPr>
            <w:color w:val="0075BC"/>
            <w:u w:val="single"/>
          </w:rPr>
          <w:t>yncprngo</w:t>
        </w:r>
        <w:r w:rsidRPr="001B33EA">
          <w:rPr>
            <w:color w:val="0075BC"/>
            <w:u w:val="single"/>
            <w:lang w:val="ru-RU"/>
          </w:rPr>
          <w:t>/</w:t>
        </w:r>
        <w:r w:rsidRPr="001B33EA">
          <w:rPr>
            <w:color w:val="0075BC"/>
            <w:u w:val="single"/>
          </w:rPr>
          <w:t>dnb</w:t>
        </w:r>
        <w:r w:rsidRPr="001B33EA">
          <w:rPr>
            <w:color w:val="0075BC"/>
            <w:u w:val="single"/>
            <w:lang w:val="ru-RU"/>
          </w:rPr>
          <w:t>-</w:t>
        </w:r>
        <w:r w:rsidRPr="001B33EA">
          <w:rPr>
            <w:color w:val="0075BC"/>
            <w:u w:val="single"/>
          </w:rPr>
          <w:t>factsheet</w:t>
        </w:r>
        <w:r w:rsidRPr="001B33EA">
          <w:rPr>
            <w:color w:val="0075BC"/>
            <w:u w:val="single"/>
            <w:lang w:val="ru-RU"/>
          </w:rPr>
          <w:t>-</w:t>
        </w:r>
        <w:r w:rsidRPr="001B33EA">
          <w:rPr>
            <w:color w:val="0075BC"/>
            <w:u w:val="single"/>
          </w:rPr>
          <w:t>dgs</w:t>
        </w:r>
        <w:r w:rsidRPr="001B33EA">
          <w:rPr>
            <w:color w:val="0075BC"/>
            <w:u w:val="single"/>
            <w:lang w:val="ru-RU"/>
          </w:rPr>
          <w:t>-</w:t>
        </w:r>
        <w:r w:rsidRPr="001B33EA">
          <w:rPr>
            <w:color w:val="0075BC"/>
            <w:u w:val="single"/>
          </w:rPr>
          <w:t>payout</w:t>
        </w:r>
        <w:r w:rsidRPr="001B33EA">
          <w:rPr>
            <w:color w:val="0075BC"/>
            <w:u w:val="single"/>
            <w:lang w:val="ru-RU"/>
          </w:rPr>
          <w:t>-</w:t>
        </w:r>
        <w:r w:rsidRPr="001B33EA">
          <w:rPr>
            <w:color w:val="0075BC"/>
            <w:u w:val="single"/>
          </w:rPr>
          <w:t>atb</w:t>
        </w:r>
        <w:r w:rsidRPr="001B33EA">
          <w:rPr>
            <w:color w:val="0075BC"/>
            <w:u w:val="single"/>
            <w:lang w:val="ru-RU"/>
          </w:rPr>
          <w:t>-</w:t>
        </w:r>
        <w:r w:rsidRPr="001B33EA">
          <w:rPr>
            <w:color w:val="0075BC"/>
            <w:u w:val="single"/>
          </w:rPr>
          <w:t>january</w:t>
        </w:r>
        <w:r w:rsidRPr="001B33EA">
          <w:rPr>
            <w:color w:val="0075BC"/>
            <w:u w:val="single"/>
            <w:lang w:val="ru-RU"/>
          </w:rPr>
          <w:t>-2024.</w:t>
        </w:r>
        <w:r w:rsidRPr="001B33EA">
          <w:rPr>
            <w:color w:val="0075BC"/>
            <w:u w:val="single"/>
          </w:rPr>
          <w:t>pdf</w:t>
        </w:r>
      </w:hyperlink>
    </w:p>
    <w:p w14:paraId="2CC086A4" w14:textId="19956E2C" w:rsidR="00801394" w:rsidRPr="006B46C7" w:rsidRDefault="00801394">
      <w:pPr>
        <w:pStyle w:val="af0"/>
        <w:rPr>
          <w:lang w:val="ru-RU"/>
        </w:rPr>
      </w:pPr>
    </w:p>
  </w:footnote>
  <w:footnote w:id="47">
    <w:p w14:paraId="12421837" w14:textId="54FBDCF8" w:rsidR="00801394" w:rsidRPr="004D2C53" w:rsidRDefault="00801394">
      <w:pPr>
        <w:pStyle w:val="a4"/>
        <w:tabs>
          <w:tab w:val="left" w:pos="192"/>
        </w:tabs>
        <w:rPr>
          <w:lang w:val="ru-RU"/>
        </w:rPr>
      </w:pPr>
      <w:bookmarkStart w:id="147" w:name="bookmark44"/>
      <w:r>
        <w:rPr>
          <w:sz w:val="12"/>
          <w:szCs w:val="12"/>
          <w:shd w:val="clear" w:color="auto" w:fill="FFFFFF"/>
          <w:vertAlign w:val="superscript"/>
        </w:rPr>
        <w:footnoteRef/>
      </w:r>
      <w:r w:rsidRPr="004D2C53">
        <w:rPr>
          <w:sz w:val="12"/>
          <w:szCs w:val="12"/>
          <w:lang w:val="ru-RU"/>
        </w:rPr>
        <w:tab/>
      </w:r>
      <w:r w:rsidRPr="00270E37">
        <w:rPr>
          <w:lang w:val="ru-RU"/>
        </w:rPr>
        <w:t xml:space="preserve">DRR FDIC </w:t>
      </w:r>
      <w:r w:rsidRPr="004D2C53">
        <w:rPr>
          <w:lang w:val="ru-RU"/>
        </w:rPr>
        <w:t xml:space="preserve">использует различные инструменты урегулирования несостоятельности для достижения наименее затратной сделки, включая передачу активов и обязательств всего банка (с разделением убытков или без него), базовую передачу активов и обязательств с дополнительными пулами кредитов, </w:t>
      </w:r>
      <w:r>
        <w:rPr>
          <w:lang w:val="ru-RU"/>
        </w:rPr>
        <w:t>“</w:t>
      </w:r>
      <w:r w:rsidRPr="004D2C53">
        <w:rPr>
          <w:lang w:val="ru-RU"/>
        </w:rPr>
        <w:t>бридж-банк</w:t>
      </w:r>
      <w:r>
        <w:rPr>
          <w:lang w:val="ru-RU"/>
        </w:rPr>
        <w:t>”</w:t>
      </w:r>
      <w:r w:rsidRPr="004D2C53">
        <w:rPr>
          <w:lang w:val="ru-RU"/>
        </w:rPr>
        <w:t xml:space="preserve">, национальный банк страхования вкладов и выплату. Обучение </w:t>
      </w:r>
      <w:r w:rsidRPr="00270E37">
        <w:rPr>
          <w:lang w:val="ru-RU"/>
        </w:rPr>
        <w:t xml:space="preserve">DRR FDIC </w:t>
      </w:r>
      <w:r w:rsidRPr="004D2C53">
        <w:rPr>
          <w:lang w:val="ru-RU"/>
        </w:rPr>
        <w:t xml:space="preserve">охватывает использование всех инструментов урегулирования несостоятельности, включая необходимость выбора наиболее подходящего инструмента для конкретного случая с учетом уникальных характеристик проблемного банка и обстоятельств, приведших к его </w:t>
      </w:r>
      <w:r>
        <w:rPr>
          <w:lang w:val="ru-RU"/>
        </w:rPr>
        <w:t>банкротст</w:t>
      </w:r>
      <w:r w:rsidRPr="004D2C53">
        <w:rPr>
          <w:lang w:val="ru-RU"/>
        </w:rPr>
        <w:t>ву.</w:t>
      </w:r>
      <w:bookmarkEnd w:id="147"/>
    </w:p>
  </w:footnote>
  <w:footnote w:id="48">
    <w:p w14:paraId="0CA7AE7B" w14:textId="316CDBBF" w:rsidR="00801394" w:rsidRPr="004D2C53" w:rsidRDefault="00801394">
      <w:pPr>
        <w:pStyle w:val="a4"/>
        <w:tabs>
          <w:tab w:val="left" w:pos="192"/>
        </w:tabs>
        <w:rPr>
          <w:lang w:val="ru-RU"/>
        </w:rPr>
      </w:pPr>
      <w:bookmarkStart w:id="151" w:name="bookmark45"/>
      <w:r>
        <w:rPr>
          <w:sz w:val="12"/>
          <w:szCs w:val="12"/>
          <w:shd w:val="clear" w:color="auto" w:fill="FFFFFF"/>
          <w:vertAlign w:val="superscript"/>
        </w:rPr>
        <w:footnoteRef/>
      </w:r>
      <w:r w:rsidRPr="004D2C53">
        <w:rPr>
          <w:sz w:val="12"/>
          <w:szCs w:val="12"/>
          <w:lang w:val="ru-RU"/>
        </w:rPr>
        <w:tab/>
      </w:r>
      <w:r>
        <w:rPr>
          <w:lang w:val="ru-RU"/>
        </w:rPr>
        <w:t>IADI</w:t>
      </w:r>
      <w:r w:rsidRPr="004D2C53">
        <w:rPr>
          <w:lang w:val="ru-RU"/>
        </w:rPr>
        <w:t xml:space="preserve"> </w:t>
      </w:r>
      <w:r>
        <w:rPr>
          <w:lang w:val="ru-RU"/>
        </w:rPr>
        <w:t>“</w:t>
      </w:r>
      <w:r w:rsidRPr="004D2C53">
        <w:rPr>
          <w:lang w:val="ru-RU"/>
        </w:rPr>
        <w:t>Извлеченные уроки</w:t>
      </w:r>
      <w:r>
        <w:rPr>
          <w:lang w:val="ru-RU"/>
        </w:rPr>
        <w:t>”</w:t>
      </w:r>
      <w:r w:rsidRPr="004D2C53">
        <w:rPr>
          <w:lang w:val="ru-RU"/>
        </w:rPr>
        <w:t>, 2023, с.17</w:t>
      </w:r>
      <w:bookmarkEnd w:id="151"/>
    </w:p>
  </w:footnote>
  <w:footnote w:id="49">
    <w:p w14:paraId="17DD5684" w14:textId="77777777" w:rsidR="00801394" w:rsidRPr="004D2C53" w:rsidRDefault="00801394">
      <w:pPr>
        <w:pStyle w:val="a4"/>
        <w:tabs>
          <w:tab w:val="left" w:pos="182"/>
        </w:tabs>
        <w:rPr>
          <w:lang w:val="ru-RU"/>
        </w:rPr>
      </w:pPr>
      <w:bookmarkStart w:id="163" w:name="bookmark49"/>
      <w:bookmarkStart w:id="164" w:name="bookmark47"/>
      <w:bookmarkStart w:id="165" w:name="bookmark46"/>
      <w:r>
        <w:rPr>
          <w:sz w:val="12"/>
          <w:szCs w:val="12"/>
          <w:shd w:val="clear" w:color="auto" w:fill="FFFFFF"/>
          <w:vertAlign w:val="superscript"/>
        </w:rPr>
        <w:footnoteRef/>
      </w:r>
      <w:r w:rsidRPr="004D2C53">
        <w:rPr>
          <w:sz w:val="12"/>
          <w:szCs w:val="12"/>
          <w:lang w:val="ru-RU"/>
        </w:rPr>
        <w:tab/>
      </w:r>
      <w:r w:rsidRPr="004D2C53">
        <w:rPr>
          <w:lang w:val="ru-RU"/>
        </w:rPr>
        <w:t>Эти ежегодные семинары начали проводиться в 2012 году в сотрудничестве с Нигерийским судебным институтом (</w:t>
      </w:r>
      <w:r>
        <w:t>NJI</w:t>
      </w:r>
      <w:r w:rsidRPr="004D2C53">
        <w:rPr>
          <w:lang w:val="ru-RU"/>
        </w:rPr>
        <w:t xml:space="preserve">), однако в последние три года программа была приостановлена из-за пандемии </w:t>
      </w:r>
      <w:r>
        <w:t>COVID</w:t>
      </w:r>
      <w:r w:rsidRPr="004D2C53">
        <w:rPr>
          <w:lang w:val="ru-RU"/>
        </w:rPr>
        <w:t>-19.</w:t>
      </w:r>
      <w:bookmarkEnd w:id="164"/>
      <w:bookmarkEnd w:id="165"/>
    </w:p>
  </w:footnote>
  <w:footnote w:id="50">
    <w:p w14:paraId="0A4F450E" w14:textId="0BCEF32F" w:rsidR="00801394" w:rsidRPr="006B2311" w:rsidRDefault="00801394" w:rsidP="006B2311">
      <w:pPr>
        <w:pStyle w:val="a4"/>
        <w:tabs>
          <w:tab w:val="left" w:pos="173"/>
        </w:tabs>
        <w:ind w:left="140" w:hanging="140"/>
        <w:rPr>
          <w:lang w:val="ru-RU"/>
        </w:rPr>
      </w:pPr>
      <w:r>
        <w:rPr>
          <w:sz w:val="12"/>
          <w:szCs w:val="12"/>
          <w:shd w:val="clear" w:color="auto" w:fill="FFFFFF"/>
          <w:vertAlign w:val="superscript"/>
        </w:rPr>
        <w:footnoteRef/>
      </w:r>
      <w:r w:rsidRPr="004D2C53">
        <w:rPr>
          <w:sz w:val="12"/>
          <w:szCs w:val="12"/>
          <w:lang w:val="ru-RU"/>
        </w:rPr>
        <w:tab/>
      </w:r>
      <w:r w:rsidRPr="004D2C53">
        <w:rPr>
          <w:lang w:val="ru-RU"/>
        </w:rPr>
        <w:t>Сюда входят значительные события, которые являются результатом внешних факторов, не связанных с банковским кризисом (например, стихийные бедствия, перебои в обслуживании, полити</w:t>
      </w:r>
      <w:r>
        <w:rPr>
          <w:lang w:val="ru-RU"/>
        </w:rPr>
        <w:t>ческие/гражданские беспорядки).</w:t>
      </w:r>
    </w:p>
  </w:footnote>
  <w:footnote w:id="51">
    <w:p w14:paraId="1E18EF06" w14:textId="583F0AB7" w:rsidR="00801394" w:rsidRPr="004D2C53" w:rsidRDefault="00801394">
      <w:pPr>
        <w:pStyle w:val="a4"/>
        <w:tabs>
          <w:tab w:val="left" w:pos="182"/>
        </w:tabs>
        <w:jc w:val="both"/>
        <w:rPr>
          <w:lang w:val="ru-RU"/>
        </w:rPr>
      </w:pPr>
      <w:r>
        <w:rPr>
          <w:sz w:val="12"/>
          <w:szCs w:val="12"/>
          <w:shd w:val="clear" w:color="auto" w:fill="FFFFFF"/>
          <w:vertAlign w:val="superscript"/>
        </w:rPr>
        <w:footnoteRef/>
      </w:r>
      <w:r w:rsidRPr="004D2C53">
        <w:rPr>
          <w:sz w:val="12"/>
          <w:szCs w:val="12"/>
          <w:lang w:val="ru-RU"/>
        </w:rPr>
        <w:tab/>
      </w:r>
      <w:hyperlink r:id="rId3" w:history="1">
        <w:r>
          <w:rPr>
            <w:color w:val="0075BC"/>
            <w:u w:val="single"/>
          </w:rPr>
          <w:t>https</w:t>
        </w:r>
        <w:r w:rsidRPr="009C0950">
          <w:rPr>
            <w:color w:val="0075BC"/>
            <w:u w:val="single"/>
            <w:lang w:val="ru-RU"/>
          </w:rPr>
          <w:t>://</w:t>
        </w:r>
        <w:r>
          <w:rPr>
            <w:color w:val="0075BC"/>
            <w:u w:val="single"/>
          </w:rPr>
          <w:t>www</w:t>
        </w:r>
        <w:r w:rsidRPr="009C0950">
          <w:rPr>
            <w:color w:val="0075BC"/>
            <w:u w:val="single"/>
            <w:lang w:val="ru-RU"/>
          </w:rPr>
          <w:t>.</w:t>
        </w:r>
        <w:r>
          <w:rPr>
            <w:color w:val="0075BC"/>
            <w:u w:val="single"/>
          </w:rPr>
          <w:t>fdic</w:t>
        </w:r>
        <w:r w:rsidRPr="009C0950">
          <w:rPr>
            <w:color w:val="0075BC"/>
            <w:u w:val="single"/>
            <w:lang w:val="ru-RU"/>
          </w:rPr>
          <w:t>.</w:t>
        </w:r>
        <w:r>
          <w:rPr>
            <w:color w:val="0075BC"/>
            <w:u w:val="single"/>
          </w:rPr>
          <w:t>gov</w:t>
        </w:r>
        <w:r w:rsidRPr="009C0950">
          <w:rPr>
            <w:color w:val="0075BC"/>
            <w:u w:val="single"/>
            <w:lang w:val="ru-RU"/>
          </w:rPr>
          <w:t>/</w:t>
        </w:r>
        <w:r>
          <w:rPr>
            <w:color w:val="0075BC"/>
            <w:u w:val="single"/>
          </w:rPr>
          <w:t>news</w:t>
        </w:r>
        <w:r w:rsidRPr="009C0950">
          <w:rPr>
            <w:color w:val="0075BC"/>
            <w:u w:val="single"/>
            <w:lang w:val="ru-RU"/>
          </w:rPr>
          <w:t>/</w:t>
        </w:r>
        <w:r>
          <w:rPr>
            <w:color w:val="0075BC"/>
            <w:u w:val="single"/>
          </w:rPr>
          <w:t>press</w:t>
        </w:r>
        <w:r w:rsidRPr="009C0950">
          <w:rPr>
            <w:color w:val="0075BC"/>
            <w:u w:val="single"/>
            <w:lang w:val="ru-RU"/>
          </w:rPr>
          <w:t>-</w:t>
        </w:r>
        <w:r>
          <w:rPr>
            <w:color w:val="0075BC"/>
            <w:u w:val="single"/>
          </w:rPr>
          <w:t>releases</w:t>
        </w:r>
        <w:r w:rsidRPr="009C0950">
          <w:rPr>
            <w:color w:val="0075BC"/>
            <w:u w:val="single"/>
            <w:lang w:val="ru-RU"/>
          </w:rPr>
          <w:t>/2022/</w:t>
        </w:r>
        <w:r>
          <w:rPr>
            <w:color w:val="0075BC"/>
            <w:u w:val="single"/>
          </w:rPr>
          <w:t>pr</w:t>
        </w:r>
        <w:r w:rsidRPr="009C0950">
          <w:rPr>
            <w:color w:val="0075BC"/>
            <w:u w:val="single"/>
            <w:lang w:val="ru-RU"/>
          </w:rPr>
          <w:t>22033.</w:t>
        </w:r>
        <w:r>
          <w:rPr>
            <w:color w:val="0075BC"/>
            <w:u w:val="single"/>
          </w:rPr>
          <w:t>html</w:t>
        </w:r>
      </w:hyperlink>
    </w:p>
  </w:footnote>
  <w:footnote w:id="52">
    <w:p w14:paraId="3D9670DA" w14:textId="68CAC617" w:rsidR="00801394" w:rsidRPr="004D2C53" w:rsidRDefault="00801394">
      <w:pPr>
        <w:pStyle w:val="a4"/>
        <w:tabs>
          <w:tab w:val="left" w:pos="173"/>
        </w:tabs>
        <w:rPr>
          <w:lang w:val="ru-RU"/>
        </w:rPr>
      </w:pPr>
      <w:bookmarkStart w:id="197" w:name="bookmark50"/>
      <w:r>
        <w:rPr>
          <w:sz w:val="12"/>
          <w:szCs w:val="12"/>
          <w:shd w:val="clear" w:color="auto" w:fill="FFFFFF"/>
          <w:vertAlign w:val="superscript"/>
        </w:rPr>
        <w:footnoteRef/>
      </w:r>
      <w:r w:rsidRPr="004D2C53">
        <w:rPr>
          <w:sz w:val="12"/>
          <w:szCs w:val="12"/>
          <w:lang w:val="ru-RU"/>
        </w:rPr>
        <w:tab/>
      </w:r>
      <w:r w:rsidRPr="004D2C53">
        <w:rPr>
          <w:lang w:val="ru-RU"/>
        </w:rPr>
        <w:t>Центральный банк Мексики (</w:t>
      </w:r>
      <w:r>
        <w:t>Banxico</w:t>
      </w:r>
      <w:r w:rsidRPr="004D2C53">
        <w:rPr>
          <w:lang w:val="ru-RU"/>
        </w:rPr>
        <w:t>) обратился к МВФ за технической помощью в проведении серии учений по моделированию кризисных ситуаций в области кибербезопасности с участием мексиканских финансовых органов (</w:t>
      </w:r>
      <w:r>
        <w:t>MFA</w:t>
      </w:r>
      <w:r w:rsidRPr="004D2C53">
        <w:rPr>
          <w:lang w:val="ru-RU"/>
        </w:rPr>
        <w:t xml:space="preserve">). Эксперт, назначенный МВФ, работал с </w:t>
      </w:r>
      <w:r>
        <w:t>Banxico</w:t>
      </w:r>
      <w:r w:rsidRPr="004D2C53">
        <w:rPr>
          <w:lang w:val="ru-RU"/>
        </w:rPr>
        <w:t>, Национальной комиссией по банкам и ценным бумагам (</w:t>
      </w:r>
      <w:r>
        <w:t>CNBV</w:t>
      </w:r>
      <w:r w:rsidRPr="004D2C53">
        <w:rPr>
          <w:lang w:val="ru-RU"/>
        </w:rPr>
        <w:t xml:space="preserve">), </w:t>
      </w:r>
      <w:r w:rsidR="00B1307C">
        <w:t>IPAB</w:t>
      </w:r>
      <w:r w:rsidRPr="004D2C53">
        <w:rPr>
          <w:lang w:val="ru-RU"/>
        </w:rPr>
        <w:t xml:space="preserve"> и Министерством финансов, чтобы провести первые межведомственные учения по моделированию кризиса кибербезопасности. Эти учения были проведены в июне 2023 года и включали около 30 участников из всех четырех ведомств.</w:t>
      </w:r>
      <w:bookmarkEnd w:id="197"/>
    </w:p>
  </w:footnote>
  <w:footnote w:id="53">
    <w:p w14:paraId="65AA7DA4" w14:textId="3DBCBD92" w:rsidR="00801394" w:rsidRPr="006B46C7" w:rsidRDefault="00801394" w:rsidP="006B46C7">
      <w:pPr>
        <w:pStyle w:val="af0"/>
        <w:jc w:val="both"/>
        <w:rPr>
          <w:lang w:val="ru-RU"/>
        </w:rPr>
      </w:pPr>
      <w:r>
        <w:rPr>
          <w:rStyle w:val="af2"/>
        </w:rPr>
        <w:footnoteRef/>
      </w:r>
      <w:r w:rsidRPr="006B46C7">
        <w:rPr>
          <w:lang w:val="ru-RU"/>
        </w:rPr>
        <w:t xml:space="preserve"> </w:t>
      </w:r>
      <w:r w:rsidRPr="006B46C7">
        <w:rPr>
          <w:sz w:val="16"/>
          <w:szCs w:val="16"/>
          <w:lang w:val="ru-RU"/>
        </w:rPr>
        <w:t>В 2019 году в рамках поддержки расширенной программы управления рисками предприятия (</w:t>
      </w:r>
      <w:r w:rsidR="00B1307C">
        <w:rPr>
          <w:sz w:val="16"/>
          <w:szCs w:val="16"/>
        </w:rPr>
        <w:t>ERM</w:t>
      </w:r>
      <w:r w:rsidRPr="006B46C7">
        <w:rPr>
          <w:sz w:val="16"/>
          <w:szCs w:val="16"/>
          <w:lang w:val="ru-RU"/>
        </w:rPr>
        <w:t xml:space="preserve">) </w:t>
      </w:r>
      <w:r w:rsidR="00B1307C">
        <w:rPr>
          <w:sz w:val="16"/>
          <w:szCs w:val="16"/>
        </w:rPr>
        <w:t>CDIC</w:t>
      </w:r>
      <w:r w:rsidRPr="006B46C7">
        <w:rPr>
          <w:sz w:val="16"/>
          <w:szCs w:val="16"/>
          <w:lang w:val="ru-RU"/>
        </w:rPr>
        <w:t xml:space="preserve"> усилил внимание к тестированию готовности к кризисам и управления, создав специальное подразделение - “Центр передового опыта по моделированию кризисных ситуаций” - для применения системного и общеорганизационного подхода к определению приоритетов тестирования.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06323" w14:textId="3CAA7AA6" w:rsidR="00801394" w:rsidRDefault="00801394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6BD2CF9" wp14:editId="32733416">
              <wp:simplePos x="0" y="0"/>
              <wp:positionH relativeFrom="page">
                <wp:posOffset>1063625</wp:posOffset>
              </wp:positionH>
              <wp:positionV relativeFrom="page">
                <wp:posOffset>86360</wp:posOffset>
              </wp:positionV>
              <wp:extent cx="2514600" cy="11557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A2C6F3" w14:textId="0B03DE53" w:rsidR="00801394" w:rsidRPr="004C130A" w:rsidRDefault="00801394">
                          <w:pPr>
                            <w:pStyle w:val="20"/>
                            <w:rPr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sz w:val="18"/>
                              <w:szCs w:val="18"/>
                            </w:rPr>
                            <w:t xml:space="preserve">МАСД | Международная ассоциация страховщиков </w:t>
                          </w:r>
                          <w:r>
                            <w:rPr>
                              <w:rFonts w:ascii="Segoe UI" w:eastAsia="Segoe UI" w:hAnsi="Segoe UI" w:cs="Segoe UI"/>
                              <w:sz w:val="18"/>
                              <w:szCs w:val="18"/>
                              <w:lang w:val="ru-RU"/>
                            </w:rPr>
                            <w:t>депозитов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BD2CF9" id="_x0000_t202" coordsize="21600,21600" o:spt="202" path="m,l,21600r21600,l21600,xe">
              <v:stroke joinstyle="miter"/>
              <v:path gradientshapeok="t" o:connecttype="rect"/>
            </v:shapetype>
            <v:shape id="Shape 2" o:spid="_x0000_s1031" type="#_x0000_t202" style="position:absolute;margin-left:83.75pt;margin-top:6.8pt;width:198pt;height:9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" filled="f" stroked="f">
              <v:textbox style="mso-fit-shape-to-text:t" inset="0,0,0,0">
                <w:txbxContent>
                  <w:p w14:paraId="70A2C6F3" w14:textId="0B03DE53" w:rsidR="00801394" w:rsidRPr="004C130A" w:rsidRDefault="00801394">
                    <w:pPr>
                      <w:pStyle w:val="20"/>
                      <w:rPr>
                        <w:sz w:val="18"/>
                        <w:szCs w:val="18"/>
                        <w:lang w:val="ru-RU"/>
                      </w:rPr>
                    </w:pPr>
                    <w:r>
                      <w:rPr>
                        <w:rFonts w:ascii="Segoe UI" w:eastAsia="Segoe UI" w:hAnsi="Segoe UI" w:cs="Segoe UI"/>
                        <w:sz w:val="18"/>
                        <w:szCs w:val="18"/>
                      </w:rPr>
                      <w:t xml:space="preserve">МАСД | Международная ассоциация страховщиков </w:t>
                    </w:r>
                    <w:r>
                      <w:rPr>
                        <w:rFonts w:ascii="Segoe UI" w:eastAsia="Segoe UI" w:hAnsi="Segoe UI" w:cs="Segoe UI"/>
                        <w:sz w:val="18"/>
                        <w:szCs w:val="18"/>
                        <w:lang w:val="ru-RU"/>
                      </w:rPr>
                      <w:t>депозитов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PIDM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3E11E" w14:textId="77777777" w:rsidR="00801394" w:rsidRDefault="00801394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47D60065" wp14:editId="77D9F2A3">
              <wp:simplePos x="0" y="0"/>
              <wp:positionH relativeFrom="page">
                <wp:posOffset>1016635</wp:posOffset>
              </wp:positionH>
              <wp:positionV relativeFrom="page">
                <wp:posOffset>173355</wp:posOffset>
              </wp:positionV>
              <wp:extent cx="2514600" cy="115570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9D84DE" w14:textId="06B21AC2" w:rsidR="00801394" w:rsidRPr="004C130A" w:rsidRDefault="00801394">
                          <w:pPr>
                            <w:pStyle w:val="af"/>
                            <w:rPr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МАСД | Международная ассоциация страховщиков </w:t>
                          </w:r>
                          <w:r>
                            <w:rPr>
                              <w:sz w:val="18"/>
                              <w:szCs w:val="18"/>
                              <w:lang w:val="ru-RU"/>
                            </w:rPr>
                            <w:t>депозитов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60065" id="_x0000_t202" coordsize="21600,21600" o:spt="202" path="m,l,21600r21600,l21600,xe">
              <v:stroke joinstyle="miter"/>
              <v:path gradientshapeok="t" o:connecttype="rect"/>
            </v:shapetype>
            <v:shape id="Shape 44" o:spid="_x0000_s1033" type="#_x0000_t202" style="position:absolute;margin-left:80.05pt;margin-top:13.65pt;width:198pt;height:9.1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" filled="f" stroked="f">
              <v:textbox style="mso-fit-shape-to-text:t" inset="0,0,0,0">
                <w:txbxContent>
                  <w:p w14:paraId="749D84DE" w14:textId="06B21AC2" w:rsidR="00801394" w:rsidRPr="004C130A" w:rsidRDefault="00801394">
                    <w:pPr>
                      <w:pStyle w:val="af"/>
                      <w:rPr>
                        <w:sz w:val="18"/>
                        <w:szCs w:val="18"/>
                        <w:lang w:val="ru-RU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МАСД | Международная ассоциация страховщиков </w:t>
                    </w:r>
                    <w:r>
                      <w:rPr>
                        <w:sz w:val="18"/>
                        <w:szCs w:val="18"/>
                        <w:lang w:val="ru-RU"/>
                      </w:rPr>
                      <w:t>депозитов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A4FE"/>
    <w:multiLevelType w:val="hybridMultilevel"/>
    <w:tmpl w:val="B6078E4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6D330C"/>
    <w:multiLevelType w:val="multilevel"/>
    <w:tmpl w:val="63342AAC"/>
    <w:lvl w:ilvl="0">
      <w:start w:val="2"/>
      <w:numFmt w:val="decimal"/>
      <w:lvlText w:val="4.3.%1."/>
      <w:lvlJc w:val="left"/>
      <w:rPr>
        <w:rFonts w:ascii="Segoe UI" w:eastAsia="Segoe UI" w:hAnsi="Segoe UI" w:cs="Segoe UI"/>
        <w:b w:val="0"/>
        <w:bCs/>
        <w:i w:val="0"/>
        <w:iCs w:val="0"/>
        <w:smallCaps w:val="0"/>
        <w:strike w:val="0"/>
        <w:color w:val="1E2E8B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546258"/>
    <w:multiLevelType w:val="multilevel"/>
    <w:tmpl w:val="749CE128"/>
    <w:lvl w:ilvl="0">
      <w:start w:val="1"/>
      <w:numFmt w:val="decimal"/>
      <w:lvlText w:val="4.2.%1."/>
      <w:lvlJc w:val="left"/>
      <w:rPr>
        <w:rFonts w:ascii="Segoe UI" w:eastAsia="Segoe UI" w:hAnsi="Segoe UI" w:cs="Segoe UI"/>
        <w:b w:val="0"/>
        <w:bCs/>
        <w:i w:val="0"/>
        <w:iCs w:val="0"/>
        <w:smallCaps w:val="0"/>
        <w:strike w:val="0"/>
        <w:color w:val="1E2E8B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117015"/>
    <w:multiLevelType w:val="hybridMultilevel"/>
    <w:tmpl w:val="353A6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D2197"/>
    <w:multiLevelType w:val="hybridMultilevel"/>
    <w:tmpl w:val="A1C220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4484F"/>
    <w:multiLevelType w:val="multilevel"/>
    <w:tmpl w:val="6F301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562FF5"/>
    <w:multiLevelType w:val="multilevel"/>
    <w:tmpl w:val="AAF4C958"/>
    <w:lvl w:ilvl="0">
      <w:start w:val="3"/>
      <w:numFmt w:val="decimal"/>
      <w:lvlText w:val="4.2.%1."/>
      <w:lvlJc w:val="left"/>
      <w:rPr>
        <w:rFonts w:ascii="Segoe UI" w:eastAsia="Segoe UI" w:hAnsi="Segoe UI" w:cs="Segoe UI"/>
        <w:b w:val="0"/>
        <w:bCs/>
        <w:i w:val="0"/>
        <w:iCs w:val="0"/>
        <w:smallCaps w:val="0"/>
        <w:strike w:val="0"/>
        <w:color w:val="1E2E8B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CB4526"/>
    <w:multiLevelType w:val="multilevel"/>
    <w:tmpl w:val="F2C2BD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1E2E8B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color w:val="1E2E8B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1E2E8B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1E2E8B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1E2E8B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1E2E8B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1E2E8B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1E2E8B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1E2E8B"/>
      </w:rPr>
    </w:lvl>
  </w:abstractNum>
  <w:abstractNum w:abstractNumId="8" w15:restartNumberingAfterBreak="0">
    <w:nsid w:val="342E0C42"/>
    <w:multiLevelType w:val="multilevel"/>
    <w:tmpl w:val="CCBE4E3A"/>
    <w:lvl w:ilvl="0">
      <w:start w:val="53"/>
      <w:numFmt w:val="decimal"/>
      <w:lvlText w:val="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FFFFFF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206295"/>
    <w:multiLevelType w:val="multilevel"/>
    <w:tmpl w:val="60A65BD8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1E2E8B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Segoe UI" w:eastAsia="Segoe UI" w:hAnsi="Segoe UI" w:cs="Segoe UI"/>
        <w:b w:val="0"/>
        <w:bCs/>
        <w:i w:val="0"/>
        <w:iCs w:val="0"/>
        <w:smallCaps w:val="0"/>
        <w:strike w:val="0"/>
        <w:color w:val="1E2E8B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47184D"/>
    <w:multiLevelType w:val="multilevel"/>
    <w:tmpl w:val="DC7AD3D2"/>
    <w:lvl w:ilvl="0">
      <w:start w:val="1"/>
      <w:numFmt w:val="decimal"/>
      <w:lvlText w:val="3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1E2E8B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E07BC3"/>
    <w:multiLevelType w:val="multilevel"/>
    <w:tmpl w:val="7CD44DAA"/>
    <w:lvl w:ilvl="0">
      <w:start w:val="5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1E2E8B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486E2A"/>
    <w:multiLevelType w:val="multilevel"/>
    <w:tmpl w:val="407A1BC4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1E2E8B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F71B03"/>
    <w:multiLevelType w:val="multilevel"/>
    <w:tmpl w:val="D1F64DAC"/>
    <w:lvl w:ilvl="0">
      <w:start w:val="43"/>
      <w:numFmt w:val="decimal"/>
      <w:lvlText w:val="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FFFFFF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0F1C6E"/>
    <w:multiLevelType w:val="multilevel"/>
    <w:tmpl w:val="3486461E"/>
    <w:lvl w:ilvl="0">
      <w:start w:val="3"/>
      <w:numFmt w:val="decimal"/>
      <w:lvlText w:val="4.%1."/>
      <w:lvlJc w:val="left"/>
      <w:rPr>
        <w:rFonts w:ascii="Segoe UI" w:eastAsia="Segoe UI" w:hAnsi="Segoe UI" w:cs="Segoe UI"/>
        <w:b w:val="0"/>
        <w:bCs/>
        <w:i w:val="0"/>
        <w:iCs w:val="0"/>
        <w:smallCaps w:val="0"/>
        <w:strike w:val="0"/>
        <w:color w:val="1E2E8B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9D68AF"/>
    <w:multiLevelType w:val="multilevel"/>
    <w:tmpl w:val="BE902B2A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C84B79"/>
    <w:multiLevelType w:val="multilevel"/>
    <w:tmpl w:val="7060AE50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6AD5814"/>
    <w:multiLevelType w:val="multilevel"/>
    <w:tmpl w:val="9F0C3C18"/>
    <w:lvl w:ilvl="0">
      <w:start w:val="45"/>
      <w:numFmt w:val="decimal"/>
      <w:lvlText w:val="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FFFFFF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A3128C5"/>
    <w:multiLevelType w:val="multilevel"/>
    <w:tmpl w:val="88B4FA2A"/>
    <w:lvl w:ilvl="0">
      <w:start w:val="1"/>
      <w:numFmt w:val="decimal"/>
      <w:lvlText w:val="4.2.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134E82"/>
    <w:multiLevelType w:val="multilevel"/>
    <w:tmpl w:val="3FA4E770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741879"/>
    <w:multiLevelType w:val="multilevel"/>
    <w:tmpl w:val="28DCF2D0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1E2E8B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53311B"/>
    <w:multiLevelType w:val="multilevel"/>
    <w:tmpl w:val="16C4A9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000F19"/>
    <w:multiLevelType w:val="hybridMultilevel"/>
    <w:tmpl w:val="E9306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2"/>
  </w:num>
  <w:num w:numId="4">
    <w:abstractNumId w:val="9"/>
  </w:num>
  <w:num w:numId="5">
    <w:abstractNumId w:val="19"/>
  </w:num>
  <w:num w:numId="6">
    <w:abstractNumId w:val="10"/>
  </w:num>
  <w:num w:numId="7">
    <w:abstractNumId w:val="18"/>
  </w:num>
  <w:num w:numId="8">
    <w:abstractNumId w:val="13"/>
  </w:num>
  <w:num w:numId="9">
    <w:abstractNumId w:val="2"/>
  </w:num>
  <w:num w:numId="10">
    <w:abstractNumId w:val="17"/>
  </w:num>
  <w:num w:numId="11">
    <w:abstractNumId w:val="15"/>
  </w:num>
  <w:num w:numId="12">
    <w:abstractNumId w:val="6"/>
  </w:num>
  <w:num w:numId="13">
    <w:abstractNumId w:val="14"/>
  </w:num>
  <w:num w:numId="14">
    <w:abstractNumId w:val="1"/>
  </w:num>
  <w:num w:numId="15">
    <w:abstractNumId w:val="8"/>
  </w:num>
  <w:num w:numId="16">
    <w:abstractNumId w:val="11"/>
  </w:num>
  <w:num w:numId="17">
    <w:abstractNumId w:val="0"/>
  </w:num>
  <w:num w:numId="18">
    <w:abstractNumId w:val="3"/>
  </w:num>
  <w:num w:numId="19">
    <w:abstractNumId w:val="22"/>
  </w:num>
  <w:num w:numId="20">
    <w:abstractNumId w:val="5"/>
  </w:num>
  <w:num w:numId="21">
    <w:abstractNumId w:val="21"/>
  </w:num>
  <w:num w:numId="22">
    <w:abstractNumId w:val="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01"/>
    <w:rsid w:val="0002548F"/>
    <w:rsid w:val="0006114E"/>
    <w:rsid w:val="00067E5D"/>
    <w:rsid w:val="00072B2E"/>
    <w:rsid w:val="0008263E"/>
    <w:rsid w:val="000903F9"/>
    <w:rsid w:val="000B3FF9"/>
    <w:rsid w:val="000B5403"/>
    <w:rsid w:val="000D153A"/>
    <w:rsid w:val="000E10D6"/>
    <w:rsid w:val="000F2297"/>
    <w:rsid w:val="000F5D0D"/>
    <w:rsid w:val="00100B81"/>
    <w:rsid w:val="00102586"/>
    <w:rsid w:val="00103344"/>
    <w:rsid w:val="00104978"/>
    <w:rsid w:val="00105955"/>
    <w:rsid w:val="00107433"/>
    <w:rsid w:val="0011353E"/>
    <w:rsid w:val="0012144B"/>
    <w:rsid w:val="001216D6"/>
    <w:rsid w:val="0012381E"/>
    <w:rsid w:val="001263AD"/>
    <w:rsid w:val="00126695"/>
    <w:rsid w:val="001519C8"/>
    <w:rsid w:val="001742E1"/>
    <w:rsid w:val="00186471"/>
    <w:rsid w:val="001957BB"/>
    <w:rsid w:val="001B0301"/>
    <w:rsid w:val="001B33EA"/>
    <w:rsid w:val="001D164D"/>
    <w:rsid w:val="001E0C08"/>
    <w:rsid w:val="001F3079"/>
    <w:rsid w:val="0020166A"/>
    <w:rsid w:val="00205458"/>
    <w:rsid w:val="002143B8"/>
    <w:rsid w:val="00233896"/>
    <w:rsid w:val="00241B64"/>
    <w:rsid w:val="00247021"/>
    <w:rsid w:val="00251404"/>
    <w:rsid w:val="0025298E"/>
    <w:rsid w:val="00254550"/>
    <w:rsid w:val="00256E74"/>
    <w:rsid w:val="00261216"/>
    <w:rsid w:val="00267231"/>
    <w:rsid w:val="00270E37"/>
    <w:rsid w:val="00271B8B"/>
    <w:rsid w:val="00272860"/>
    <w:rsid w:val="00280D4E"/>
    <w:rsid w:val="002B12B8"/>
    <w:rsid w:val="002B3353"/>
    <w:rsid w:val="002B6557"/>
    <w:rsid w:val="002C20E3"/>
    <w:rsid w:val="002C22FE"/>
    <w:rsid w:val="002D7AB2"/>
    <w:rsid w:val="002E0167"/>
    <w:rsid w:val="002E0A04"/>
    <w:rsid w:val="002E6FEB"/>
    <w:rsid w:val="002E7C67"/>
    <w:rsid w:val="002F6E60"/>
    <w:rsid w:val="00301A86"/>
    <w:rsid w:val="00305A2A"/>
    <w:rsid w:val="003060B7"/>
    <w:rsid w:val="0031495F"/>
    <w:rsid w:val="0031781B"/>
    <w:rsid w:val="00330E2F"/>
    <w:rsid w:val="0034525D"/>
    <w:rsid w:val="00352577"/>
    <w:rsid w:val="00360E74"/>
    <w:rsid w:val="003659CB"/>
    <w:rsid w:val="00383D64"/>
    <w:rsid w:val="00391F6B"/>
    <w:rsid w:val="003957FB"/>
    <w:rsid w:val="003A21C8"/>
    <w:rsid w:val="003A4091"/>
    <w:rsid w:val="003A5897"/>
    <w:rsid w:val="003B0F23"/>
    <w:rsid w:val="003B30E2"/>
    <w:rsid w:val="003C5531"/>
    <w:rsid w:val="003F1236"/>
    <w:rsid w:val="0040310C"/>
    <w:rsid w:val="0041547C"/>
    <w:rsid w:val="004240F4"/>
    <w:rsid w:val="0042570C"/>
    <w:rsid w:val="0043588D"/>
    <w:rsid w:val="00457A45"/>
    <w:rsid w:val="004628BD"/>
    <w:rsid w:val="00495DA4"/>
    <w:rsid w:val="004B14AF"/>
    <w:rsid w:val="004B2F0B"/>
    <w:rsid w:val="004B6412"/>
    <w:rsid w:val="004C130A"/>
    <w:rsid w:val="004C3CCD"/>
    <w:rsid w:val="004D2C53"/>
    <w:rsid w:val="004E7792"/>
    <w:rsid w:val="004F0294"/>
    <w:rsid w:val="004F20D7"/>
    <w:rsid w:val="004F5DC2"/>
    <w:rsid w:val="00501ADC"/>
    <w:rsid w:val="00506991"/>
    <w:rsid w:val="00521962"/>
    <w:rsid w:val="0053024F"/>
    <w:rsid w:val="005343FE"/>
    <w:rsid w:val="00534AAD"/>
    <w:rsid w:val="0055046C"/>
    <w:rsid w:val="005526FE"/>
    <w:rsid w:val="00590000"/>
    <w:rsid w:val="00592936"/>
    <w:rsid w:val="005959C3"/>
    <w:rsid w:val="00596334"/>
    <w:rsid w:val="005B103E"/>
    <w:rsid w:val="005B4B77"/>
    <w:rsid w:val="005C0675"/>
    <w:rsid w:val="005C0BD9"/>
    <w:rsid w:val="005C6019"/>
    <w:rsid w:val="005D19B8"/>
    <w:rsid w:val="005D3ABB"/>
    <w:rsid w:val="005D5DDC"/>
    <w:rsid w:val="005E23CD"/>
    <w:rsid w:val="00601C7C"/>
    <w:rsid w:val="00602134"/>
    <w:rsid w:val="00610BFE"/>
    <w:rsid w:val="00633399"/>
    <w:rsid w:val="006344E2"/>
    <w:rsid w:val="006345FD"/>
    <w:rsid w:val="00647191"/>
    <w:rsid w:val="00647BE4"/>
    <w:rsid w:val="0066064E"/>
    <w:rsid w:val="00661334"/>
    <w:rsid w:val="006646EF"/>
    <w:rsid w:val="00680A34"/>
    <w:rsid w:val="006A2A89"/>
    <w:rsid w:val="006A4639"/>
    <w:rsid w:val="006B0463"/>
    <w:rsid w:val="006B2311"/>
    <w:rsid w:val="006B43DB"/>
    <w:rsid w:val="006B46C7"/>
    <w:rsid w:val="006C3B9D"/>
    <w:rsid w:val="006E021B"/>
    <w:rsid w:val="006E408A"/>
    <w:rsid w:val="006F1D49"/>
    <w:rsid w:val="007119F1"/>
    <w:rsid w:val="007124DD"/>
    <w:rsid w:val="00724CAE"/>
    <w:rsid w:val="00740174"/>
    <w:rsid w:val="00753CFF"/>
    <w:rsid w:val="0077063E"/>
    <w:rsid w:val="00772845"/>
    <w:rsid w:val="0078130B"/>
    <w:rsid w:val="00786B85"/>
    <w:rsid w:val="00787F3E"/>
    <w:rsid w:val="007B51DA"/>
    <w:rsid w:val="007C263E"/>
    <w:rsid w:val="007D11D5"/>
    <w:rsid w:val="007E53FB"/>
    <w:rsid w:val="007E5528"/>
    <w:rsid w:val="00801394"/>
    <w:rsid w:val="00803224"/>
    <w:rsid w:val="00805A6E"/>
    <w:rsid w:val="0081561E"/>
    <w:rsid w:val="00831EFD"/>
    <w:rsid w:val="00836D98"/>
    <w:rsid w:val="00841E7F"/>
    <w:rsid w:val="0084290E"/>
    <w:rsid w:val="008440B8"/>
    <w:rsid w:val="008551DA"/>
    <w:rsid w:val="008552DA"/>
    <w:rsid w:val="00864220"/>
    <w:rsid w:val="0087109A"/>
    <w:rsid w:val="00890DC0"/>
    <w:rsid w:val="008935CD"/>
    <w:rsid w:val="00894949"/>
    <w:rsid w:val="008B7217"/>
    <w:rsid w:val="008C7D33"/>
    <w:rsid w:val="008D385E"/>
    <w:rsid w:val="008D3A71"/>
    <w:rsid w:val="008D40F5"/>
    <w:rsid w:val="008E4A80"/>
    <w:rsid w:val="0090278D"/>
    <w:rsid w:val="00904180"/>
    <w:rsid w:val="00921E30"/>
    <w:rsid w:val="00930AD0"/>
    <w:rsid w:val="00943422"/>
    <w:rsid w:val="009542E6"/>
    <w:rsid w:val="009604E8"/>
    <w:rsid w:val="00966A34"/>
    <w:rsid w:val="009A176F"/>
    <w:rsid w:val="009A2792"/>
    <w:rsid w:val="009B4B62"/>
    <w:rsid w:val="009B741E"/>
    <w:rsid w:val="009C0950"/>
    <w:rsid w:val="009C7F21"/>
    <w:rsid w:val="009D044E"/>
    <w:rsid w:val="009E01DA"/>
    <w:rsid w:val="009E5330"/>
    <w:rsid w:val="009F157D"/>
    <w:rsid w:val="009F6DFE"/>
    <w:rsid w:val="009F76AC"/>
    <w:rsid w:val="00A100CD"/>
    <w:rsid w:val="00A10BA7"/>
    <w:rsid w:val="00A33E18"/>
    <w:rsid w:val="00A378C0"/>
    <w:rsid w:val="00A46AC1"/>
    <w:rsid w:val="00A60168"/>
    <w:rsid w:val="00A71736"/>
    <w:rsid w:val="00A73242"/>
    <w:rsid w:val="00A829D7"/>
    <w:rsid w:val="00AA508E"/>
    <w:rsid w:val="00AB4287"/>
    <w:rsid w:val="00AE24CB"/>
    <w:rsid w:val="00AE6878"/>
    <w:rsid w:val="00B02E89"/>
    <w:rsid w:val="00B1307C"/>
    <w:rsid w:val="00B1472A"/>
    <w:rsid w:val="00B16616"/>
    <w:rsid w:val="00B17266"/>
    <w:rsid w:val="00B6286F"/>
    <w:rsid w:val="00B64EAA"/>
    <w:rsid w:val="00B7236D"/>
    <w:rsid w:val="00B73BA1"/>
    <w:rsid w:val="00B85903"/>
    <w:rsid w:val="00BD28A0"/>
    <w:rsid w:val="00BD4576"/>
    <w:rsid w:val="00BD63D9"/>
    <w:rsid w:val="00BE08B4"/>
    <w:rsid w:val="00BE5358"/>
    <w:rsid w:val="00BF2AB4"/>
    <w:rsid w:val="00BF4D31"/>
    <w:rsid w:val="00BF6B4B"/>
    <w:rsid w:val="00BF7A69"/>
    <w:rsid w:val="00C155A7"/>
    <w:rsid w:val="00C22D16"/>
    <w:rsid w:val="00C3494D"/>
    <w:rsid w:val="00C5409B"/>
    <w:rsid w:val="00C55520"/>
    <w:rsid w:val="00C56A78"/>
    <w:rsid w:val="00C61DAA"/>
    <w:rsid w:val="00C670F6"/>
    <w:rsid w:val="00C96D47"/>
    <w:rsid w:val="00CA5792"/>
    <w:rsid w:val="00CB3E2D"/>
    <w:rsid w:val="00CD109C"/>
    <w:rsid w:val="00CF277C"/>
    <w:rsid w:val="00CF33AF"/>
    <w:rsid w:val="00D10243"/>
    <w:rsid w:val="00D1393D"/>
    <w:rsid w:val="00D14D61"/>
    <w:rsid w:val="00D2131E"/>
    <w:rsid w:val="00D26EAE"/>
    <w:rsid w:val="00D354EA"/>
    <w:rsid w:val="00D4454B"/>
    <w:rsid w:val="00D50C13"/>
    <w:rsid w:val="00D60F25"/>
    <w:rsid w:val="00D64B23"/>
    <w:rsid w:val="00D65CFF"/>
    <w:rsid w:val="00D724E0"/>
    <w:rsid w:val="00D83385"/>
    <w:rsid w:val="00D92A55"/>
    <w:rsid w:val="00DC749A"/>
    <w:rsid w:val="00DD0FEF"/>
    <w:rsid w:val="00DE6CCC"/>
    <w:rsid w:val="00DF1B2B"/>
    <w:rsid w:val="00DF5CEA"/>
    <w:rsid w:val="00E17042"/>
    <w:rsid w:val="00E53AF0"/>
    <w:rsid w:val="00E5459E"/>
    <w:rsid w:val="00E56388"/>
    <w:rsid w:val="00E72712"/>
    <w:rsid w:val="00E81C7E"/>
    <w:rsid w:val="00E85496"/>
    <w:rsid w:val="00EB0660"/>
    <w:rsid w:val="00EB67DF"/>
    <w:rsid w:val="00EC690A"/>
    <w:rsid w:val="00EF3434"/>
    <w:rsid w:val="00EF6D81"/>
    <w:rsid w:val="00EF7C46"/>
    <w:rsid w:val="00F01D82"/>
    <w:rsid w:val="00F02CF2"/>
    <w:rsid w:val="00F15CB6"/>
    <w:rsid w:val="00F26582"/>
    <w:rsid w:val="00F360A8"/>
    <w:rsid w:val="00F40CD1"/>
    <w:rsid w:val="00F454F8"/>
    <w:rsid w:val="00F61C2B"/>
    <w:rsid w:val="00F61D63"/>
    <w:rsid w:val="00F76555"/>
    <w:rsid w:val="00F779F0"/>
    <w:rsid w:val="00FC1A62"/>
    <w:rsid w:val="00FC1EB6"/>
    <w:rsid w:val="00FC63EB"/>
    <w:rsid w:val="00FC68AC"/>
    <w:rsid w:val="00FD03DB"/>
    <w:rsid w:val="00FD26F9"/>
    <w:rsid w:val="00FD3E93"/>
    <w:rsid w:val="00FD5556"/>
    <w:rsid w:val="00FE4437"/>
    <w:rsid w:val="00FE5CB0"/>
    <w:rsid w:val="00FF1200"/>
    <w:rsid w:val="00FF57E2"/>
    <w:rsid w:val="00FF5975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85FBC"/>
  <w15:docId w15:val="{6D092A59-BCD7-4775-A654-EE7AE289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864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6"/>
      <w:szCs w:val="1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1E2E8B"/>
      <w:sz w:val="40"/>
      <w:szCs w:val="4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1E2E8B"/>
      <w:sz w:val="28"/>
      <w:szCs w:val="2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a">
    <w:name w:val="Подпись к таблице_"/>
    <w:basedOn w:val="a0"/>
    <w:link w:val="ab"/>
    <w:rPr>
      <w:rFonts w:ascii="Segoe UI" w:eastAsia="Segoe UI" w:hAnsi="Segoe UI" w:cs="Segoe UI"/>
      <w:b/>
      <w:bCs/>
      <w:i w:val="0"/>
      <w:iCs w:val="0"/>
      <w:smallCaps w:val="0"/>
      <w:strike w:val="0"/>
      <w:color w:val="14316B"/>
      <w:sz w:val="12"/>
      <w:szCs w:val="12"/>
      <w:u w:val="none"/>
      <w:shd w:val="clear" w:color="auto" w:fill="auto"/>
    </w:rPr>
  </w:style>
  <w:style w:type="character" w:customStyle="1" w:styleId="ac">
    <w:name w:val="Подпись к картинке_"/>
    <w:basedOn w:val="a0"/>
    <w:link w:val="ad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e">
    <w:name w:val="Колонтитул_"/>
    <w:basedOn w:val="a0"/>
    <w:link w:val="af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a4">
    <w:name w:val="Сноска"/>
    <w:basedOn w:val="a"/>
    <w:link w:val="a3"/>
    <w:rPr>
      <w:rFonts w:ascii="Segoe UI" w:eastAsia="Segoe UI" w:hAnsi="Segoe UI" w:cs="Segoe UI"/>
      <w:sz w:val="18"/>
      <w:szCs w:val="18"/>
    </w:rPr>
  </w:style>
  <w:style w:type="paragraph" w:customStyle="1" w:styleId="50">
    <w:name w:val="Основной текст (5)"/>
    <w:basedOn w:val="a"/>
    <w:link w:val="5"/>
    <w:pPr>
      <w:spacing w:after="1090" w:line="223" w:lineRule="auto"/>
      <w:ind w:left="5480"/>
    </w:pPr>
    <w:rPr>
      <w:rFonts w:ascii="Arial" w:eastAsia="Arial" w:hAnsi="Arial" w:cs="Arial"/>
      <w:color w:val="EBEBEB"/>
      <w:sz w:val="16"/>
      <w:szCs w:val="16"/>
    </w:rPr>
  </w:style>
  <w:style w:type="paragraph" w:customStyle="1" w:styleId="30">
    <w:name w:val="Основной текст (3)"/>
    <w:basedOn w:val="a"/>
    <w:link w:val="3"/>
    <w:pPr>
      <w:spacing w:after="1360" w:line="264" w:lineRule="auto"/>
      <w:jc w:val="right"/>
    </w:pPr>
    <w:rPr>
      <w:rFonts w:ascii="Segoe UI" w:eastAsia="Segoe UI" w:hAnsi="Segoe UI" w:cs="Segoe UI"/>
      <w:color w:val="1E2E8B"/>
      <w:sz w:val="40"/>
      <w:szCs w:val="40"/>
    </w:rPr>
  </w:style>
  <w:style w:type="paragraph" w:customStyle="1" w:styleId="40">
    <w:name w:val="Основной текст (4)"/>
    <w:basedOn w:val="a"/>
    <w:link w:val="4"/>
    <w:pPr>
      <w:jc w:val="center"/>
    </w:pPr>
    <w:rPr>
      <w:rFonts w:ascii="Segoe UI" w:eastAsia="Segoe UI" w:hAnsi="Segoe UI" w:cs="Segoe UI"/>
      <w:sz w:val="16"/>
      <w:szCs w:val="16"/>
    </w:rPr>
  </w:style>
  <w:style w:type="paragraph" w:customStyle="1" w:styleId="11">
    <w:name w:val="Основной текст1"/>
    <w:basedOn w:val="a"/>
    <w:link w:val="a5"/>
    <w:pPr>
      <w:spacing w:after="120" w:line="264" w:lineRule="auto"/>
    </w:pPr>
    <w:rPr>
      <w:rFonts w:ascii="Segoe UI" w:eastAsia="Segoe UI" w:hAnsi="Segoe UI" w:cs="Segoe UI"/>
      <w:sz w:val="22"/>
      <w:szCs w:val="2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pPr>
      <w:spacing w:after="60"/>
    </w:pPr>
    <w:rPr>
      <w:rFonts w:ascii="Segoe UI" w:eastAsia="Segoe UI" w:hAnsi="Segoe UI" w:cs="Segoe UI"/>
      <w:sz w:val="22"/>
      <w:szCs w:val="22"/>
    </w:rPr>
  </w:style>
  <w:style w:type="paragraph" w:customStyle="1" w:styleId="a9">
    <w:name w:val="Другое"/>
    <w:basedOn w:val="a"/>
    <w:link w:val="a8"/>
    <w:pPr>
      <w:spacing w:after="120" w:line="264" w:lineRule="auto"/>
    </w:pPr>
    <w:rPr>
      <w:rFonts w:ascii="Segoe UI" w:eastAsia="Segoe UI" w:hAnsi="Segoe UI" w:cs="Segoe UI"/>
      <w:sz w:val="22"/>
      <w:szCs w:val="22"/>
    </w:rPr>
  </w:style>
  <w:style w:type="paragraph" w:customStyle="1" w:styleId="13">
    <w:name w:val="Заголовок №1"/>
    <w:basedOn w:val="a"/>
    <w:link w:val="12"/>
    <w:pPr>
      <w:spacing w:after="260"/>
      <w:outlineLvl w:val="0"/>
    </w:pPr>
    <w:rPr>
      <w:rFonts w:ascii="Segoe UI" w:eastAsia="Segoe UI" w:hAnsi="Segoe UI" w:cs="Segoe UI"/>
      <w:color w:val="1E2E8B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after="120"/>
    </w:pPr>
    <w:rPr>
      <w:rFonts w:ascii="Segoe UI" w:eastAsia="Segoe UI" w:hAnsi="Segoe UI" w:cs="Segoe UI"/>
      <w:sz w:val="18"/>
      <w:szCs w:val="18"/>
    </w:rPr>
  </w:style>
  <w:style w:type="paragraph" w:customStyle="1" w:styleId="ab">
    <w:name w:val="Подпись к таблице"/>
    <w:basedOn w:val="a"/>
    <w:link w:val="aa"/>
    <w:rPr>
      <w:rFonts w:ascii="Segoe UI" w:eastAsia="Segoe UI" w:hAnsi="Segoe UI" w:cs="Segoe UI"/>
      <w:b/>
      <w:bCs/>
      <w:color w:val="14316B"/>
      <w:sz w:val="12"/>
      <w:szCs w:val="12"/>
    </w:rPr>
  </w:style>
  <w:style w:type="paragraph" w:customStyle="1" w:styleId="ad">
    <w:name w:val="Подпись к картинке"/>
    <w:basedOn w:val="a"/>
    <w:link w:val="ac"/>
    <w:rPr>
      <w:rFonts w:ascii="Segoe UI" w:eastAsia="Segoe UI" w:hAnsi="Segoe UI" w:cs="Segoe UI"/>
      <w:sz w:val="18"/>
      <w:szCs w:val="18"/>
    </w:rPr>
  </w:style>
  <w:style w:type="paragraph" w:customStyle="1" w:styleId="24">
    <w:name w:val="Заголовок №2"/>
    <w:basedOn w:val="a"/>
    <w:link w:val="23"/>
    <w:pPr>
      <w:spacing w:after="90" w:line="264" w:lineRule="auto"/>
      <w:outlineLvl w:val="1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af">
    <w:name w:val="Колонтитул"/>
    <w:basedOn w:val="a"/>
    <w:link w:val="ae"/>
    <w:rPr>
      <w:rFonts w:ascii="Segoe UI" w:eastAsia="Segoe UI" w:hAnsi="Segoe UI" w:cs="Segoe UI"/>
      <w:sz w:val="16"/>
      <w:szCs w:val="16"/>
    </w:rPr>
  </w:style>
  <w:style w:type="paragraph" w:styleId="af0">
    <w:name w:val="footnote text"/>
    <w:basedOn w:val="a"/>
    <w:link w:val="af1"/>
    <w:uiPriority w:val="99"/>
    <w:semiHidden/>
    <w:unhideWhenUsed/>
    <w:rsid w:val="00BE5358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E5358"/>
    <w:rPr>
      <w:color w:val="000000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BE5358"/>
    <w:rPr>
      <w:vertAlign w:val="superscript"/>
    </w:rPr>
  </w:style>
  <w:style w:type="paragraph" w:styleId="af3">
    <w:name w:val="Balloon Text"/>
    <w:basedOn w:val="a"/>
    <w:link w:val="af4"/>
    <w:uiPriority w:val="99"/>
    <w:semiHidden/>
    <w:unhideWhenUsed/>
    <w:rsid w:val="00BE535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BE5358"/>
    <w:rPr>
      <w:rFonts w:ascii="Segoe UI" w:hAnsi="Segoe UI" w:cs="Segoe UI"/>
      <w:color w:val="000000"/>
      <w:sz w:val="18"/>
      <w:szCs w:val="18"/>
    </w:rPr>
  </w:style>
  <w:style w:type="table" w:styleId="af5">
    <w:name w:val="Table Grid"/>
    <w:basedOn w:val="a1"/>
    <w:uiPriority w:val="39"/>
    <w:rsid w:val="00FD2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5C067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5C067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5C067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5C0675"/>
    <w:rPr>
      <w:color w:val="000000"/>
    </w:rPr>
  </w:style>
  <w:style w:type="paragraph" w:customStyle="1" w:styleId="Default">
    <w:name w:val="Default"/>
    <w:rsid w:val="00C22D16"/>
    <w:pPr>
      <w:widowControl/>
      <w:autoSpaceDE w:val="0"/>
      <w:autoSpaceDN w:val="0"/>
      <w:adjustRightInd w:val="0"/>
    </w:pPr>
    <w:rPr>
      <w:rFonts w:ascii="Segoe UI" w:hAnsi="Segoe UI" w:cs="Segoe UI"/>
      <w:color w:val="000000"/>
      <w:lang w:val="ru-RU" w:bidi="ar-SA"/>
    </w:rPr>
  </w:style>
  <w:style w:type="paragraph" w:styleId="afa">
    <w:name w:val="Revision"/>
    <w:hidden/>
    <w:uiPriority w:val="99"/>
    <w:semiHidden/>
    <w:rsid w:val="00841E7F"/>
    <w:pPr>
      <w:widowControl/>
    </w:pPr>
    <w:rPr>
      <w:color w:val="000000"/>
    </w:rPr>
  </w:style>
  <w:style w:type="paragraph" w:styleId="afb">
    <w:name w:val="List Paragraph"/>
    <w:basedOn w:val="a"/>
    <w:uiPriority w:val="34"/>
    <w:qFormat/>
    <w:rsid w:val="00E17042"/>
    <w:pPr>
      <w:ind w:left="720"/>
      <w:contextualSpacing/>
    </w:pPr>
  </w:style>
  <w:style w:type="paragraph" w:customStyle="1" w:styleId="ds-markdown-paragraph">
    <w:name w:val="ds-markdown-paragraph"/>
    <w:basedOn w:val="a"/>
    <w:rsid w:val="00FC1A6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 w:bidi="ar-SA"/>
    </w:rPr>
  </w:style>
  <w:style w:type="character" w:styleId="afc">
    <w:name w:val="Strong"/>
    <w:basedOn w:val="a0"/>
    <w:uiPriority w:val="22"/>
    <w:qFormat/>
    <w:rsid w:val="00FC1A62"/>
    <w:rPr>
      <w:b/>
      <w:bCs/>
    </w:rPr>
  </w:style>
  <w:style w:type="character" w:customStyle="1" w:styleId="apple-converted-space">
    <w:name w:val="apple-converted-space"/>
    <w:basedOn w:val="a0"/>
    <w:rsid w:val="00FC1A62"/>
  </w:style>
  <w:style w:type="character" w:customStyle="1" w:styleId="10">
    <w:name w:val="Заголовок 1 Знак"/>
    <w:basedOn w:val="a0"/>
    <w:link w:val="1"/>
    <w:uiPriority w:val="9"/>
    <w:rsid w:val="001864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d">
    <w:name w:val="TOC Heading"/>
    <w:basedOn w:val="1"/>
    <w:next w:val="a"/>
    <w:uiPriority w:val="39"/>
    <w:unhideWhenUsed/>
    <w:qFormat/>
    <w:rsid w:val="00DF5CEA"/>
    <w:pPr>
      <w:widowControl/>
      <w:spacing w:line="259" w:lineRule="auto"/>
      <w:outlineLvl w:val="9"/>
    </w:pPr>
    <w:rPr>
      <w:lang w:val="ru-RU" w:eastAsia="ru-RU" w:bidi="ar-SA"/>
    </w:rPr>
  </w:style>
  <w:style w:type="paragraph" w:styleId="14">
    <w:name w:val="toc 1"/>
    <w:basedOn w:val="a"/>
    <w:next w:val="a"/>
    <w:autoRedefine/>
    <w:uiPriority w:val="39"/>
    <w:unhideWhenUsed/>
    <w:rsid w:val="00DF5CEA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DF5CEA"/>
    <w:pPr>
      <w:spacing w:after="100"/>
      <w:ind w:left="240"/>
    </w:pPr>
  </w:style>
  <w:style w:type="character" w:styleId="afe">
    <w:name w:val="Hyperlink"/>
    <w:basedOn w:val="a0"/>
    <w:uiPriority w:val="99"/>
    <w:unhideWhenUsed/>
    <w:rsid w:val="00DF5C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yperlink" Target="https://www.dnb.nl/media/yncprngo/dnb-factsheet-dgs-payout-atb-january-2024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://documents.worldbank.org/curated/en/099125002162330340/P1776920e37f660f70b6640fe108468feb5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://www.iadi.org/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documents.worldbank.org/curated/en/099125002162330340/P1776920e37f660f70b6640fe108468feb5" TargetMode="External"/><Relationship Id="rId27" Type="http://schemas.openxmlformats.org/officeDocument/2006/relationships/hyperlink" Target="http://www.iadi.org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dic.gov/news/press-releases/2022/pr22033.html" TargetMode="External"/><Relationship Id="rId2" Type="http://schemas.openxmlformats.org/officeDocument/2006/relationships/hyperlink" Target="https://www.dnb.nl/media/yncprngo/dnb-factsheet-dgs-payout-atb-january-2024.pdf" TargetMode="External"/><Relationship Id="rId1" Type="http://schemas.openxmlformats.org/officeDocument/2006/relationships/hyperlink" Target="https://www.bis.org/fsi/fsi2023review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3FF9E-84C4-440B-96B7-8BBCF16EF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3864</TotalTime>
  <Pages>60</Pages>
  <Words>18853</Words>
  <Characters>107468</Characters>
  <Application>Microsoft Office Word</Application>
  <DocSecurity>0</DocSecurity>
  <Lines>895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Евстратенко Николай Николаевич</dc:creator>
  <cp:keywords>, docId:9458FEDE44210B62389A0CDD4532B6AB</cp:keywords>
  <cp:lastModifiedBy>Павлов Глеб Александрович</cp:lastModifiedBy>
  <cp:revision>258</cp:revision>
  <cp:lastPrinted>2025-07-10T09:23:00Z</cp:lastPrinted>
  <dcterms:created xsi:type="dcterms:W3CDTF">2025-06-17T10:17:00Z</dcterms:created>
  <dcterms:modified xsi:type="dcterms:W3CDTF">2025-08-22T13:56:00Z</dcterms:modified>
</cp:coreProperties>
</file>